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14980" w14:textId="7CC8E9D9" w:rsidR="00A729F5" w:rsidRPr="00DA12F7" w:rsidRDefault="00A729F5" w:rsidP="00A729F5">
      <w:pPr>
        <w:tabs>
          <w:tab w:val="right" w:pos="9630"/>
        </w:tabs>
        <w:spacing w:after="0"/>
      </w:pPr>
      <w:r w:rsidRPr="00DA12F7">
        <w:rPr>
          <w:rFonts w:ascii="Arial" w:hAnsi="Arial" w:cs="Arial"/>
          <w:b/>
          <w:sz w:val="24"/>
        </w:rPr>
        <w:t xml:space="preserve">3GPP TSG RAN WG1 </w:t>
      </w:r>
      <w:r w:rsidR="00832CA7">
        <w:rPr>
          <w:rFonts w:ascii="Arial" w:hAnsi="Arial" w:cs="Arial"/>
          <w:b/>
          <w:sz w:val="24"/>
        </w:rPr>
        <w:t>Meeting AH 1801</w:t>
      </w:r>
      <w:r w:rsidRPr="00DA12F7">
        <w:rPr>
          <w:rFonts w:ascii="Arial" w:hAnsi="Arial" w:cs="Arial"/>
          <w:b/>
          <w:sz w:val="24"/>
        </w:rPr>
        <w:tab/>
        <w:t>R1-</w:t>
      </w:r>
      <w:r w:rsidR="00763DBE" w:rsidRPr="00763DBE">
        <w:rPr>
          <w:rFonts w:ascii="Arial" w:hAnsi="Arial" w:cs="Arial"/>
          <w:b/>
          <w:sz w:val="24"/>
        </w:rPr>
        <w:t>1800880</w:t>
      </w:r>
    </w:p>
    <w:p w14:paraId="4CBABC28" w14:textId="02492A30" w:rsidR="00FA5DF2" w:rsidRPr="00FA5DF2" w:rsidRDefault="00832CA7" w:rsidP="00FA5DF2">
      <w:pPr>
        <w:tabs>
          <w:tab w:val="right" w:pos="9630"/>
        </w:tabs>
        <w:spacing w:after="0"/>
        <w:rPr>
          <w:rFonts w:ascii="Arial" w:hAnsi="Arial" w:cs="Arial"/>
          <w:b/>
          <w:sz w:val="24"/>
          <w:szCs w:val="24"/>
        </w:rPr>
      </w:pPr>
      <w:r w:rsidRPr="00FE650C">
        <w:rPr>
          <w:rFonts w:ascii="Arial" w:hAnsi="Arial" w:cs="Arial"/>
          <w:b/>
          <w:sz w:val="24"/>
          <w:szCs w:val="24"/>
        </w:rPr>
        <w:t>Vancouver, Canada, January 22nd – 26th, 2018</w:t>
      </w:r>
    </w:p>
    <w:p w14:paraId="43B7F87B" w14:textId="77777777" w:rsidR="0068226B" w:rsidRPr="000A64D8" w:rsidRDefault="0068226B" w:rsidP="00480B03">
      <w:pPr>
        <w:pStyle w:val="Footer"/>
        <w:jc w:val="both"/>
        <w:rPr>
          <w:noProof w:val="0"/>
        </w:rPr>
      </w:pPr>
    </w:p>
    <w:p w14:paraId="43B7F87C" w14:textId="7CB0C882"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D37A5">
        <w:rPr>
          <w:rFonts w:ascii="Arial" w:hAnsi="Arial"/>
          <w:sz w:val="24"/>
        </w:rPr>
        <w:t>7.3.4.2</w:t>
      </w:r>
    </w:p>
    <w:p w14:paraId="43B7F87D" w14:textId="33B78F53"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267E59E7"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32CA7">
        <w:rPr>
          <w:rFonts w:ascii="Arial" w:hAnsi="Arial"/>
          <w:sz w:val="22"/>
        </w:rPr>
        <w:t>Remaining</w:t>
      </w:r>
      <w:r w:rsidR="00FF00B6">
        <w:rPr>
          <w:rFonts w:ascii="Arial" w:hAnsi="Arial"/>
          <w:sz w:val="22"/>
        </w:rPr>
        <w:t xml:space="preserve"> Issues on </w:t>
      </w:r>
      <w:r w:rsidR="008708B4">
        <w:rPr>
          <w:rFonts w:ascii="Arial" w:hAnsi="Arial"/>
          <w:sz w:val="24"/>
          <w:szCs w:val="24"/>
        </w:rPr>
        <w:t>CA</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5F9B6AB3" w14:textId="77777777" w:rsidR="00E4038C" w:rsidRDefault="00E4038C" w:rsidP="00E4038C">
      <w:pPr>
        <w:pStyle w:val="Heading1"/>
        <w:textAlignment w:val="auto"/>
      </w:pPr>
      <w:bookmarkStart w:id="2" w:name="_Ref494746248"/>
      <w:r>
        <w:t>Introduction</w:t>
      </w:r>
      <w:bookmarkEnd w:id="2"/>
    </w:p>
    <w:p w14:paraId="4AAFCC67" w14:textId="77C56359" w:rsidR="00E4038C" w:rsidRDefault="005F76BE" w:rsidP="00E4038C">
      <w:pPr>
        <w:spacing w:after="120"/>
      </w:pPr>
      <w:r>
        <w:t>This contribution</w:t>
      </w:r>
      <w:r w:rsidR="00E4038C">
        <w:t xml:space="preserve"> discuss</w:t>
      </w:r>
      <w:r>
        <w:t>es</w:t>
      </w:r>
      <w:r w:rsidR="00E4038C">
        <w:t xml:space="preserve"> </w:t>
      </w:r>
      <w:r w:rsidR="00C227E3">
        <w:t xml:space="preserve">issues in </w:t>
      </w:r>
      <w:r w:rsidR="00105EFB">
        <w:t xml:space="preserve">CA </w:t>
      </w:r>
      <w:r w:rsidR="00C227E3">
        <w:t xml:space="preserve">with mixed numerology. </w:t>
      </w:r>
    </w:p>
    <w:p w14:paraId="012CCAE0" w14:textId="31754FB1" w:rsidR="00832CA7" w:rsidRDefault="00832CA7" w:rsidP="00832CA7">
      <w:pPr>
        <w:overflowPunct/>
        <w:autoSpaceDE/>
        <w:autoSpaceDN/>
        <w:adjustRightInd/>
        <w:spacing w:after="0"/>
        <w:textAlignment w:val="auto"/>
        <w:rPr>
          <w:lang w:val="en-GB"/>
        </w:rPr>
      </w:pPr>
      <w:r>
        <w:rPr>
          <w:lang w:val="en-GB"/>
        </w:rPr>
        <w:t xml:space="preserve">During </w:t>
      </w:r>
      <w:r w:rsidRPr="00832CA7">
        <w:rPr>
          <w:lang w:val="en-GB"/>
        </w:rPr>
        <w:t>RAN#78 plenary meeting</w:t>
      </w:r>
      <w:r>
        <w:rPr>
          <w:lang w:val="en-GB"/>
        </w:rPr>
        <w:t>, the following decision has been made:</w:t>
      </w:r>
    </w:p>
    <w:p w14:paraId="7C7F086C" w14:textId="5BF6FAE0" w:rsidR="00832CA7" w:rsidRPr="000F5C75" w:rsidRDefault="00832CA7" w:rsidP="00FA680F">
      <w:pPr>
        <w:pStyle w:val="ListParagraph"/>
        <w:numPr>
          <w:ilvl w:val="0"/>
          <w:numId w:val="47"/>
        </w:numPr>
        <w:spacing w:after="0"/>
      </w:pPr>
      <w:r w:rsidRPr="00832CA7">
        <w:t>For NR-NR CA, finalization of the work to enable up to 2 different numerologies within the same PUCCH group (PUCCH sent on the CC with smaller SCS) in RAN1 in Q1, and in RAN4 (Core) for Q2, for the December drop</w:t>
      </w:r>
    </w:p>
    <w:p w14:paraId="5EE1D93F" w14:textId="77777777" w:rsidR="00E77B90" w:rsidRDefault="00E77B90" w:rsidP="00E77B90">
      <w:pPr>
        <w:tabs>
          <w:tab w:val="left" w:pos="720"/>
        </w:tabs>
        <w:overflowPunct/>
        <w:autoSpaceDE/>
        <w:autoSpaceDN/>
        <w:adjustRightInd/>
        <w:spacing w:after="120"/>
        <w:textAlignment w:val="auto"/>
      </w:pPr>
    </w:p>
    <w:p w14:paraId="3376174C" w14:textId="4F7795E3" w:rsidR="003F0666" w:rsidRDefault="00452D50" w:rsidP="00E4038C">
      <w:pPr>
        <w:spacing w:after="120"/>
      </w:pPr>
      <w:r>
        <w:t xml:space="preserve">This is </w:t>
      </w:r>
      <w:r w:rsidR="00832CA7">
        <w:t>a reduced</w:t>
      </w:r>
      <w:r w:rsidR="00B62F1E">
        <w:t xml:space="preserve"> resubmission</w:t>
      </w:r>
      <w:r w:rsidR="00832CA7">
        <w:t xml:space="preserve"> of </w:t>
      </w:r>
      <w:r w:rsidR="00832CA7" w:rsidRPr="00832CA7">
        <w:t>R1-1720694</w:t>
      </w:r>
      <w:r w:rsidR="00663A5B">
        <w:t xml:space="preserve">, with some new material in Section </w:t>
      </w:r>
      <w:r w:rsidR="00663A5B">
        <w:fldChar w:fldCharType="begin"/>
      </w:r>
      <w:r w:rsidR="00663A5B">
        <w:instrText xml:space="preserve"> REF _Ref503531383 \r \h </w:instrText>
      </w:r>
      <w:r w:rsidR="00663A5B">
        <w:fldChar w:fldCharType="separate"/>
      </w:r>
      <w:r w:rsidR="00763DBE">
        <w:t>2.2</w:t>
      </w:r>
      <w:r w:rsidR="00663A5B">
        <w:fldChar w:fldCharType="end"/>
      </w:r>
      <w:r w:rsidR="00663A5B">
        <w:t>.</w:t>
      </w:r>
    </w:p>
    <w:p w14:paraId="2D4BF34F" w14:textId="55C7DE76" w:rsidR="005A54DF" w:rsidRDefault="005713EF" w:rsidP="005A54DF">
      <w:pPr>
        <w:pStyle w:val="Heading1"/>
        <w:textAlignment w:val="auto"/>
      </w:pPr>
      <w:bookmarkStart w:id="3" w:name="_Toc503314554"/>
      <w:bookmarkStart w:id="4" w:name="_Toc503531337"/>
      <w:bookmarkEnd w:id="3"/>
      <w:bookmarkEnd w:id="4"/>
      <w:r>
        <w:t>CA with M</w:t>
      </w:r>
      <w:r w:rsidR="005A54DF">
        <w:t xml:space="preserve">ixed </w:t>
      </w:r>
      <w:r>
        <w:t>N</w:t>
      </w:r>
      <w:r w:rsidR="005A54DF">
        <w:t>umerology</w:t>
      </w:r>
    </w:p>
    <w:p w14:paraId="55C1DC90" w14:textId="47F20167" w:rsidR="005A54DF" w:rsidRPr="00C85752" w:rsidRDefault="005A54DF" w:rsidP="005A54DF"/>
    <w:p w14:paraId="0937695E" w14:textId="77777777" w:rsidR="005A54DF" w:rsidRDefault="005A54DF" w:rsidP="005A54DF">
      <w:pPr>
        <w:pStyle w:val="Heading2"/>
      </w:pPr>
      <w:r>
        <w:t>Scheduling</w:t>
      </w:r>
    </w:p>
    <w:p w14:paraId="2DD1E197" w14:textId="77777777" w:rsidR="005A54DF" w:rsidRDefault="005A54DF" w:rsidP="005A54DF">
      <w:pPr>
        <w:rPr>
          <w:lang w:val="en-GB"/>
        </w:rPr>
      </w:pPr>
      <w:r>
        <w:rPr>
          <w:lang w:val="en-GB"/>
        </w:rPr>
        <w:t>Cross carrier scheduling with mixed numerology was already agreed for NR. Figure 1 shows two cases for cross carrier DL scheduling with mixed numerology. One case is a larger SCS scheduling a smaller SCS and the other case is opposite. Current HARQ framework with slot (K0) and symbol granularity (N0) for DL data scheduling, further clarification/agreement is necessary to clearly define the distance between the end of PDCCH and the start of data scheduling. For case 1, there can be ambiguities on:</w:t>
      </w:r>
    </w:p>
    <w:p w14:paraId="67C8184C" w14:textId="77777777" w:rsidR="005A54DF" w:rsidRDefault="005A54DF" w:rsidP="005A54DF">
      <w:pPr>
        <w:pStyle w:val="ListParagraph"/>
        <w:numPr>
          <w:ilvl w:val="0"/>
          <w:numId w:val="29"/>
        </w:numPr>
      </w:pPr>
      <w:r>
        <w:t>Do we first allow PDCCH on slot 2n+1 allows scheduling in slot m?</w:t>
      </w:r>
    </w:p>
    <w:p w14:paraId="02590F87" w14:textId="77777777" w:rsidR="005A54DF" w:rsidRDefault="005A54DF" w:rsidP="005A54DF">
      <w:pPr>
        <w:pStyle w:val="ListParagraph"/>
        <w:numPr>
          <w:ilvl w:val="1"/>
          <w:numId w:val="29"/>
        </w:numPr>
      </w:pPr>
      <w:r>
        <w:t>To restrict UE complexity, it is proposed that cross carrier scheduling is allowed toward equal or later slot only (defined by the beginning of the slot). In other words, slot 2n+1 cannot schedule the data in slot m. Otherwise, we will introduce additional complexity compared to the same numerology scheduling (i.e., similar to allowing PDCCH anywhere in slot for slot-based scheduling).</w:t>
      </w:r>
    </w:p>
    <w:p w14:paraId="2DB56172" w14:textId="77777777" w:rsidR="005A54DF" w:rsidRDefault="005A54DF" w:rsidP="005A54DF">
      <w:pPr>
        <w:pStyle w:val="ListParagraph"/>
        <w:numPr>
          <w:ilvl w:val="0"/>
          <w:numId w:val="29"/>
        </w:numPr>
      </w:pPr>
      <w:r w:rsidRPr="00460DF0">
        <w:t>How to define K0 from slot 2n and 2n+1 respectively</w:t>
      </w:r>
    </w:p>
    <w:p w14:paraId="22681D1F" w14:textId="77777777" w:rsidR="005A54DF" w:rsidRDefault="005A54DF" w:rsidP="005A54DF">
      <w:pPr>
        <w:pStyle w:val="ListParagraph"/>
        <w:numPr>
          <w:ilvl w:val="1"/>
          <w:numId w:val="29"/>
        </w:numPr>
      </w:pPr>
      <w:r>
        <w:t>It was agreed that the distance between the end of PDCCH and the start of PDSCH is based on the numerology of data transmission. Slot m is considered as K0=0 for both slot 2n and slot 2n+1. Therefore, when a larger SCS schedules a smaller SCS, it is proposed that the overlapping slot is considered as K0=0.</w:t>
      </w:r>
    </w:p>
    <w:p w14:paraId="2C9A86B2" w14:textId="2A2CA18A" w:rsidR="006A76A6" w:rsidRDefault="006A76A6" w:rsidP="006A76A6">
      <w:pPr>
        <w:pStyle w:val="Caption"/>
      </w:pPr>
      <w:bookmarkStart w:id="5" w:name="_Toc498708257"/>
      <w:bookmarkStart w:id="6" w:name="_Toc498708423"/>
      <w:bookmarkStart w:id="7" w:name="_Toc498714724"/>
      <w:bookmarkStart w:id="8" w:name="_Toc498714741"/>
      <w:bookmarkStart w:id="9" w:name="_Toc498716910"/>
      <w:bookmarkStart w:id="10" w:name="_Toc498716975"/>
      <w:bookmarkStart w:id="11" w:name="_Toc498720478"/>
      <w:bookmarkStart w:id="12" w:name="_Toc498720514"/>
      <w:bookmarkStart w:id="13" w:name="_Toc503314555"/>
      <w:bookmarkStart w:id="14" w:name="_Toc503531338"/>
      <w:bookmarkStart w:id="15" w:name="_Toc503532185"/>
      <w:bookmarkStart w:id="16" w:name="_Toc494713330"/>
      <w:bookmarkStart w:id="17" w:name="_Toc494713418"/>
      <w:bookmarkStart w:id="18" w:name="_Toc494734985"/>
      <w:bookmarkStart w:id="19" w:name="_Toc494735051"/>
      <w:bookmarkStart w:id="20" w:name="_Toc494735628"/>
      <w:bookmarkStart w:id="21" w:name="_Toc494745992"/>
      <w:bookmarkStart w:id="22" w:name="_Toc494746309"/>
      <w:bookmarkStart w:id="23" w:name="_Toc498464659"/>
      <w:bookmarkStart w:id="24" w:name="_Toc498464677"/>
      <w:bookmarkStart w:id="25" w:name="_Toc498679760"/>
      <w:bookmarkStart w:id="26" w:name="_Toc498680120"/>
      <w:bookmarkStart w:id="27" w:name="_Toc498680600"/>
      <w:bookmarkStart w:id="28" w:name="_Toc498680632"/>
      <w:bookmarkStart w:id="29" w:name="_Toc498680826"/>
      <w:bookmarkStart w:id="30" w:name="_Toc498681356"/>
      <w:bookmarkStart w:id="31" w:name="_Toc503546290"/>
      <w:r>
        <w:t xml:space="preserve">Proposal </w:t>
      </w:r>
      <w:fldSimple w:instr=" SEQ Proposal \* ARABIC ">
        <w:r w:rsidR="00763DBE">
          <w:rPr>
            <w:noProof/>
          </w:rPr>
          <w:t>1</w:t>
        </w:r>
      </w:fldSimple>
      <w:r>
        <w:t>:</w:t>
      </w:r>
      <w:r w:rsidRPr="006A76A6">
        <w:t xml:space="preserve"> </w:t>
      </w:r>
      <w:r w:rsidRPr="0053268B">
        <w:t>Cross carrier slot-based scheduling is allowed toward equal or later slot only (defined by the beginning of the slot).</w:t>
      </w:r>
      <w:bookmarkEnd w:id="5"/>
      <w:bookmarkEnd w:id="6"/>
      <w:bookmarkEnd w:id="7"/>
      <w:bookmarkEnd w:id="8"/>
      <w:bookmarkEnd w:id="9"/>
      <w:bookmarkEnd w:id="10"/>
      <w:bookmarkEnd w:id="11"/>
      <w:bookmarkEnd w:id="12"/>
      <w:bookmarkEnd w:id="13"/>
      <w:bookmarkEnd w:id="14"/>
      <w:bookmarkEnd w:id="15"/>
      <w:bookmarkEnd w:id="31"/>
    </w:p>
    <w:p w14:paraId="0BAD334C" w14:textId="0D3DEBCD" w:rsidR="005A54DF" w:rsidRPr="0053268B" w:rsidRDefault="005A54DF" w:rsidP="0053268B">
      <w:pPr>
        <w:pStyle w:val="Caption"/>
      </w:pPr>
      <w:bookmarkStart w:id="32" w:name="_Toc494713331"/>
      <w:bookmarkStart w:id="33" w:name="_Toc494713419"/>
      <w:bookmarkStart w:id="34" w:name="_Toc494734986"/>
      <w:bookmarkStart w:id="35" w:name="_Toc494735052"/>
      <w:bookmarkStart w:id="36" w:name="_Toc494735629"/>
      <w:bookmarkStart w:id="37" w:name="_Toc494745993"/>
      <w:bookmarkStart w:id="38" w:name="_Toc494746310"/>
      <w:bookmarkStart w:id="39" w:name="_Toc498464660"/>
      <w:bookmarkStart w:id="40" w:name="_Toc498464678"/>
      <w:bookmarkStart w:id="41" w:name="_Toc498679761"/>
      <w:bookmarkStart w:id="42" w:name="_Toc498680121"/>
      <w:bookmarkStart w:id="43" w:name="_Toc498680601"/>
      <w:bookmarkStart w:id="44" w:name="_Toc498680633"/>
      <w:bookmarkStart w:id="45" w:name="_Toc498680827"/>
      <w:bookmarkStart w:id="46" w:name="_Toc498681357"/>
      <w:bookmarkStart w:id="47" w:name="_Toc498708258"/>
      <w:bookmarkStart w:id="48" w:name="_Toc498708424"/>
      <w:bookmarkStart w:id="49" w:name="_Toc498714725"/>
      <w:bookmarkStart w:id="50" w:name="_Toc498714742"/>
      <w:bookmarkStart w:id="51" w:name="_Toc498716911"/>
      <w:bookmarkStart w:id="52" w:name="_Toc498716976"/>
      <w:bookmarkStart w:id="53" w:name="_Toc498720479"/>
      <w:bookmarkStart w:id="54" w:name="_Toc498720515"/>
      <w:bookmarkStart w:id="55" w:name="_Toc503314556"/>
      <w:bookmarkStart w:id="56" w:name="_Toc503531339"/>
      <w:bookmarkStart w:id="57" w:name="_Toc503532186"/>
      <w:bookmarkStart w:id="58" w:name="_Toc50354629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53268B">
        <w:t xml:space="preserve">Proposal </w:t>
      </w:r>
      <w:fldSimple w:instr=" SEQ Proposal \* ARABIC ">
        <w:r w:rsidR="00763DBE">
          <w:rPr>
            <w:noProof/>
          </w:rPr>
          <w:t>2</w:t>
        </w:r>
      </w:fldSimple>
      <w:r w:rsidRPr="0053268B">
        <w:t>: When a larger SCS schedules a smaller SCS for DL data, the overlapping slot is considered as K0=0.</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E959459" w14:textId="157F4B2F" w:rsidR="005A54DF" w:rsidRDefault="005A54DF" w:rsidP="005A54DF">
      <w:pPr>
        <w:rPr>
          <w:lang w:val="en-GB"/>
        </w:rPr>
      </w:pPr>
      <w:r>
        <w:rPr>
          <w:lang w:val="en-GB"/>
        </w:rPr>
        <w:t>For case 2, K0 definition also needs clarification. For example, should we call slot 2n+1 as K0=0 or 1? If we try to be based on the numerology of the data transmission, K0=1 may be more adequate. Otherwise, we need to introduce N0 larger than 14. When a smaller SCS schedules a larger SCS, it is proposed that K0=0 is defined for the slot whose beginning slot boundary is aligned with the beginning slot boundary with PDCCH.</w:t>
      </w:r>
    </w:p>
    <w:p w14:paraId="4F7410F5" w14:textId="3F739B09" w:rsidR="006A76A6" w:rsidRDefault="006A76A6" w:rsidP="006A76A6">
      <w:pPr>
        <w:pStyle w:val="Caption"/>
        <w:rPr>
          <w:lang w:val="en-GB"/>
        </w:rPr>
      </w:pPr>
      <w:bookmarkStart w:id="59" w:name="_Toc498708425"/>
      <w:bookmarkStart w:id="60" w:name="_Toc498714726"/>
      <w:bookmarkStart w:id="61" w:name="_Toc498714743"/>
      <w:bookmarkStart w:id="62" w:name="_Toc498716912"/>
      <w:bookmarkStart w:id="63" w:name="_Toc498716977"/>
      <w:bookmarkStart w:id="64" w:name="_Toc498720480"/>
      <w:bookmarkStart w:id="65" w:name="_Toc498720516"/>
      <w:bookmarkStart w:id="66" w:name="_Toc503314557"/>
      <w:bookmarkStart w:id="67" w:name="_Toc503531340"/>
      <w:bookmarkStart w:id="68" w:name="_Toc503532187"/>
      <w:bookmarkStart w:id="69" w:name="_Toc503546292"/>
      <w:r>
        <w:t xml:space="preserve">Proposal </w:t>
      </w:r>
      <w:fldSimple w:instr=" SEQ Proposal \* ARABIC ">
        <w:r w:rsidR="00763DBE">
          <w:rPr>
            <w:noProof/>
          </w:rPr>
          <w:t>3</w:t>
        </w:r>
      </w:fldSimple>
      <w:r>
        <w:t xml:space="preserve">: </w:t>
      </w:r>
      <w:r w:rsidRPr="0053268B">
        <w:t>When a smaller SCS schedules a larger SCS for DL data, K0=0 is defined for the slot whose beginning slot boundary is aligned with that of the slot containing PDCCH with DL grant.</w:t>
      </w:r>
      <w:bookmarkEnd w:id="59"/>
      <w:bookmarkEnd w:id="60"/>
      <w:bookmarkEnd w:id="61"/>
      <w:bookmarkEnd w:id="62"/>
      <w:bookmarkEnd w:id="63"/>
      <w:bookmarkEnd w:id="64"/>
      <w:bookmarkEnd w:id="65"/>
      <w:bookmarkEnd w:id="66"/>
      <w:bookmarkEnd w:id="67"/>
      <w:bookmarkEnd w:id="68"/>
      <w:bookmarkEnd w:id="69"/>
    </w:p>
    <w:p w14:paraId="1FAC245D" w14:textId="536E92EE" w:rsidR="005A54DF" w:rsidRDefault="005A54DF" w:rsidP="005A54DF">
      <w:pPr>
        <w:rPr>
          <w:lang w:val="en-GB"/>
        </w:rPr>
      </w:pPr>
      <w:r>
        <w:rPr>
          <w:lang w:val="en-GB"/>
        </w:rPr>
        <w:t xml:space="preserve">Another issue with cross carrier scheduling is whether to have a joint grant or separate grant. For case 1, cross carrier scheduling is not different from the cross carrier scheduling with same numerology in terms of necessary grants. For </w:t>
      </w:r>
      <w:r>
        <w:rPr>
          <w:lang w:val="en-GB"/>
        </w:rPr>
        <w:lastRenderedPageBreak/>
        <w:t>case 2, given multiple slots overlapping with the slot with PDCCH, there can be a separate DCI per grant or a joint DCI for multiple grants. For scalable design, a separate DCI per grant is beneficial. On the other hand, a joint grant will be more spectrally efficient in terms of resource utilization. Some restrictions may be necessary in order not to increase the DCI proportional to the number of grants.</w:t>
      </w:r>
    </w:p>
    <w:p w14:paraId="5407A0CE" w14:textId="71A520CF" w:rsidR="006A76A6" w:rsidRDefault="006A76A6" w:rsidP="006A76A6">
      <w:pPr>
        <w:pStyle w:val="Caption"/>
        <w:rPr>
          <w:lang w:val="en-GB"/>
        </w:rPr>
      </w:pPr>
      <w:bookmarkStart w:id="70" w:name="_Toc498708426"/>
      <w:bookmarkStart w:id="71" w:name="_Toc498714727"/>
      <w:bookmarkStart w:id="72" w:name="_Toc498714744"/>
      <w:bookmarkStart w:id="73" w:name="_Toc498716913"/>
      <w:bookmarkStart w:id="74" w:name="_Toc498716978"/>
      <w:bookmarkStart w:id="75" w:name="_Toc498720481"/>
      <w:bookmarkStart w:id="76" w:name="_Toc498720517"/>
      <w:bookmarkStart w:id="77" w:name="_Toc503314558"/>
      <w:bookmarkStart w:id="78" w:name="_Toc503531341"/>
      <w:bookmarkStart w:id="79" w:name="_Toc503532188"/>
      <w:bookmarkStart w:id="80" w:name="_Toc503546293"/>
      <w:r>
        <w:t xml:space="preserve">Proposal </w:t>
      </w:r>
      <w:fldSimple w:instr=" SEQ Proposal \* ARABIC ">
        <w:r w:rsidR="00763DBE">
          <w:rPr>
            <w:noProof/>
          </w:rPr>
          <w:t>4</w:t>
        </w:r>
      </w:fldSimple>
      <w:r>
        <w:t xml:space="preserve">: </w:t>
      </w:r>
      <w:r w:rsidRPr="0053268B">
        <w:t>A separate DCI per grant is supported for cross carrier scheduling with mixed numerology. A joint grant is also supported for NR.</w:t>
      </w:r>
      <w:bookmarkEnd w:id="70"/>
      <w:bookmarkEnd w:id="71"/>
      <w:bookmarkEnd w:id="72"/>
      <w:bookmarkEnd w:id="73"/>
      <w:bookmarkEnd w:id="74"/>
      <w:bookmarkEnd w:id="75"/>
      <w:bookmarkEnd w:id="76"/>
      <w:bookmarkEnd w:id="77"/>
      <w:bookmarkEnd w:id="78"/>
      <w:bookmarkEnd w:id="79"/>
      <w:bookmarkEnd w:id="80"/>
    </w:p>
    <w:p w14:paraId="3B27DAB1" w14:textId="02563CB2" w:rsidR="005A54DF" w:rsidRDefault="005A54DF" w:rsidP="005A54DF">
      <w:pPr>
        <w:rPr>
          <w:lang w:val="en-GB"/>
        </w:rPr>
      </w:pPr>
      <w:r>
        <w:rPr>
          <w:lang w:val="en-GB"/>
        </w:rPr>
        <w:t>Although Figure 1 shows DL scheduling, same case exists for UL data scheduling. Proposal 1 through 3 can be applicable for both DL and UL scheduling. Therefore, the following additional proposals can be made.</w:t>
      </w:r>
    </w:p>
    <w:p w14:paraId="41632D7D" w14:textId="6BD719BA" w:rsidR="006A76A6" w:rsidRDefault="006A76A6" w:rsidP="006A76A6">
      <w:pPr>
        <w:pStyle w:val="Caption"/>
      </w:pPr>
      <w:bookmarkStart w:id="81" w:name="_Toc498708427"/>
      <w:bookmarkStart w:id="82" w:name="_Toc498714728"/>
      <w:bookmarkStart w:id="83" w:name="_Toc498714745"/>
      <w:bookmarkStart w:id="84" w:name="_Toc498716914"/>
      <w:bookmarkStart w:id="85" w:name="_Toc498716979"/>
      <w:bookmarkStart w:id="86" w:name="_Toc498720482"/>
      <w:bookmarkStart w:id="87" w:name="_Toc498720518"/>
      <w:bookmarkStart w:id="88" w:name="_Toc503314559"/>
      <w:bookmarkStart w:id="89" w:name="_Toc503531342"/>
      <w:bookmarkStart w:id="90" w:name="_Toc503532189"/>
      <w:bookmarkStart w:id="91" w:name="_Toc503546294"/>
      <w:r>
        <w:t xml:space="preserve">Proposal </w:t>
      </w:r>
      <w:fldSimple w:instr=" SEQ Proposal \* ARABIC ">
        <w:r w:rsidR="00763DBE">
          <w:rPr>
            <w:noProof/>
          </w:rPr>
          <w:t>5</w:t>
        </w:r>
      </w:fldSimple>
      <w:r>
        <w:t xml:space="preserve">: </w:t>
      </w:r>
      <w:r w:rsidRPr="0053268B">
        <w:t>When a larger SCS schedules a smaller SCS for UL data, the overlapping slot is considered as K2=0.</w:t>
      </w:r>
      <w:bookmarkEnd w:id="81"/>
      <w:bookmarkEnd w:id="82"/>
      <w:bookmarkEnd w:id="83"/>
      <w:bookmarkEnd w:id="84"/>
      <w:bookmarkEnd w:id="85"/>
      <w:bookmarkEnd w:id="86"/>
      <w:bookmarkEnd w:id="87"/>
      <w:bookmarkEnd w:id="88"/>
      <w:bookmarkEnd w:id="89"/>
      <w:bookmarkEnd w:id="90"/>
      <w:bookmarkEnd w:id="91"/>
    </w:p>
    <w:p w14:paraId="196B9377" w14:textId="1CF59AF4" w:rsidR="006A76A6" w:rsidRPr="006A76A6" w:rsidRDefault="006A76A6" w:rsidP="006A76A6">
      <w:pPr>
        <w:pStyle w:val="Caption"/>
      </w:pPr>
      <w:bookmarkStart w:id="92" w:name="_Toc498708428"/>
      <w:bookmarkStart w:id="93" w:name="_Toc498714729"/>
      <w:bookmarkStart w:id="94" w:name="_Toc498714746"/>
      <w:bookmarkStart w:id="95" w:name="_Toc498716915"/>
      <w:bookmarkStart w:id="96" w:name="_Toc498716980"/>
      <w:bookmarkStart w:id="97" w:name="_Toc498720483"/>
      <w:bookmarkStart w:id="98" w:name="_Toc498720519"/>
      <w:bookmarkStart w:id="99" w:name="_Toc503314560"/>
      <w:bookmarkStart w:id="100" w:name="_Toc503531343"/>
      <w:bookmarkStart w:id="101" w:name="_Toc503532190"/>
      <w:bookmarkStart w:id="102" w:name="_Toc503546295"/>
      <w:r>
        <w:t xml:space="preserve">Proposal </w:t>
      </w:r>
      <w:fldSimple w:instr=" SEQ Proposal \* ARABIC ">
        <w:r w:rsidR="00763DBE">
          <w:rPr>
            <w:noProof/>
          </w:rPr>
          <w:t>6</w:t>
        </w:r>
      </w:fldSimple>
      <w:r>
        <w:t xml:space="preserve">: </w:t>
      </w:r>
      <w:r w:rsidRPr="0053268B">
        <w:t>When a smaller SCS schedules a larger SCS for UL data, K2=0 is defined for the slot whose beginning slot boundary is aligned with that of the slot containing PDCCH with UL grant.</w:t>
      </w:r>
      <w:bookmarkEnd w:id="92"/>
      <w:bookmarkEnd w:id="93"/>
      <w:bookmarkEnd w:id="94"/>
      <w:bookmarkEnd w:id="95"/>
      <w:bookmarkEnd w:id="96"/>
      <w:bookmarkEnd w:id="97"/>
      <w:bookmarkEnd w:id="98"/>
      <w:bookmarkEnd w:id="99"/>
      <w:bookmarkEnd w:id="100"/>
      <w:bookmarkEnd w:id="101"/>
      <w:bookmarkEnd w:id="102"/>
    </w:p>
    <w:p w14:paraId="51C5C450" w14:textId="5C6D43C8" w:rsidR="005A54DF" w:rsidRPr="0053268B" w:rsidRDefault="005A54DF" w:rsidP="0053268B">
      <w:pPr>
        <w:pStyle w:val="Caption"/>
      </w:pPr>
    </w:p>
    <w:p w14:paraId="2B091F36" w14:textId="77777777" w:rsidR="005A54DF" w:rsidRDefault="005A54DF" w:rsidP="005A54DF">
      <w:pPr>
        <w:jc w:val="center"/>
        <w:rPr>
          <w:lang w:val="en-GB"/>
        </w:rPr>
      </w:pPr>
      <w:r w:rsidRPr="00177447">
        <w:object w:dxaOrig="15474" w:dyaOrig="5876" w14:anchorId="3BB2BFE7">
          <v:shape id="_x0000_i1034" type="#_x0000_t75" style="width:349.1pt;height:133.1pt" o:ole="">
            <v:imagedata r:id="rId12" o:title=""/>
          </v:shape>
          <o:OLEObject Type="Embed" ProgID="Visio.Drawing.11" ShapeID="_x0000_i1034" DrawAspect="Content" ObjectID="_1577288556" r:id="rId13"/>
        </w:object>
      </w:r>
    </w:p>
    <w:p w14:paraId="17FF258C" w14:textId="77777777" w:rsidR="005A54DF" w:rsidRPr="00177447" w:rsidRDefault="005A54DF" w:rsidP="005A54DF">
      <w:pPr>
        <w:pStyle w:val="ListParagraph"/>
        <w:numPr>
          <w:ilvl w:val="0"/>
          <w:numId w:val="28"/>
        </w:numPr>
      </w:pPr>
      <w:r>
        <w:t>Case 1: Larger SCS scheduling smaller SCS</w:t>
      </w:r>
    </w:p>
    <w:p w14:paraId="325037EA" w14:textId="77777777" w:rsidR="005A54DF" w:rsidRDefault="005A54DF" w:rsidP="005A54DF">
      <w:pPr>
        <w:keepNext/>
        <w:jc w:val="center"/>
        <w:rPr>
          <w:lang w:val="en-GB"/>
        </w:rPr>
      </w:pPr>
      <w:r w:rsidRPr="00177447">
        <w:object w:dxaOrig="15474" w:dyaOrig="5876" w14:anchorId="5378C6FA">
          <v:shape id="_x0000_i1035" type="#_x0000_t75" style="width:349.1pt;height:133.1pt" o:ole="">
            <v:imagedata r:id="rId14" o:title=""/>
          </v:shape>
          <o:OLEObject Type="Embed" ProgID="Visio.Drawing.11" ShapeID="_x0000_i1035" DrawAspect="Content" ObjectID="_1577288557" r:id="rId15"/>
        </w:object>
      </w:r>
    </w:p>
    <w:p w14:paraId="4A7DCD7F" w14:textId="77777777" w:rsidR="005A54DF" w:rsidRDefault="005A54DF" w:rsidP="005A54DF">
      <w:pPr>
        <w:pStyle w:val="ListParagraph"/>
        <w:numPr>
          <w:ilvl w:val="0"/>
          <w:numId w:val="28"/>
        </w:numPr>
      </w:pPr>
      <w:r>
        <w:t>Case 2: Smaller SCS scheduling larger SCS</w:t>
      </w:r>
    </w:p>
    <w:p w14:paraId="57415189" w14:textId="0358FF3E" w:rsidR="005A54DF" w:rsidRDefault="005A54DF" w:rsidP="005A54DF">
      <w:pPr>
        <w:pStyle w:val="Caption"/>
        <w:jc w:val="center"/>
      </w:pPr>
      <w:r>
        <w:t xml:space="preserve">Figure </w:t>
      </w:r>
      <w:fldSimple w:instr=" SEQ Figure \* ARABIC ">
        <w:r w:rsidR="00763DBE">
          <w:rPr>
            <w:noProof/>
          </w:rPr>
          <w:t>1</w:t>
        </w:r>
      </w:fldSimple>
      <w:r>
        <w:t>: Cross carrier DL scheduling with mixed numerology</w:t>
      </w:r>
    </w:p>
    <w:p w14:paraId="7FE1CAC9" w14:textId="77777777" w:rsidR="005A54DF" w:rsidRDefault="005A54DF" w:rsidP="005A54DF">
      <w:pPr>
        <w:rPr>
          <w:lang w:val="en-GB"/>
        </w:rPr>
      </w:pPr>
    </w:p>
    <w:p w14:paraId="142D6EF1" w14:textId="77777777" w:rsidR="005A54DF" w:rsidRDefault="005A54DF" w:rsidP="005A54DF">
      <w:pPr>
        <w:pStyle w:val="Heading2"/>
      </w:pPr>
      <w:bookmarkStart w:id="103" w:name="_Ref503531383"/>
      <w:r>
        <w:t>HARQ feedback handling</w:t>
      </w:r>
      <w:bookmarkEnd w:id="103"/>
    </w:p>
    <w:p w14:paraId="2E05D903" w14:textId="77777777" w:rsidR="005A54DF" w:rsidRDefault="005A54DF" w:rsidP="005A54DF">
      <w:pPr>
        <w:rPr>
          <w:lang w:val="en-GB"/>
        </w:rPr>
      </w:pPr>
      <w:r>
        <w:rPr>
          <w:lang w:val="en-GB"/>
        </w:rPr>
        <w:t xml:space="preserve">Cross carrier acknowledgement with mixed numerology was also agreed for NR. Figure 2 shows two cases for cross carrier acknowledgement with mixed numerology for DL scheduling. Case 1 is when A/N is transmitted on a carrier with smaller SCS. Case 2 is the other case. </w:t>
      </w:r>
    </w:p>
    <w:p w14:paraId="31630A2E" w14:textId="77777777" w:rsidR="005A54DF" w:rsidRDefault="005A54DF" w:rsidP="005A54DF">
      <w:pPr>
        <w:rPr>
          <w:lang w:val="en-GB"/>
        </w:rPr>
      </w:pPr>
      <w:r>
        <w:rPr>
          <w:lang w:val="en-GB"/>
        </w:rPr>
        <w:t>For case 1, similar to data scheduling in subsection 2.1, the following proposals are made.</w:t>
      </w:r>
    </w:p>
    <w:p w14:paraId="173F018B" w14:textId="0844ADE4" w:rsidR="006A76A6" w:rsidRDefault="006A76A6" w:rsidP="006A76A6">
      <w:pPr>
        <w:pStyle w:val="Caption"/>
      </w:pPr>
      <w:bookmarkStart w:id="104" w:name="_Toc498708429"/>
      <w:bookmarkStart w:id="105" w:name="_Toc498714730"/>
      <w:bookmarkStart w:id="106" w:name="_Toc498714747"/>
      <w:bookmarkStart w:id="107" w:name="_Toc498716916"/>
      <w:bookmarkStart w:id="108" w:name="_Toc498716981"/>
      <w:bookmarkStart w:id="109" w:name="_Toc498720484"/>
      <w:bookmarkStart w:id="110" w:name="_Toc498720520"/>
      <w:bookmarkStart w:id="111" w:name="_Toc503314561"/>
      <w:bookmarkStart w:id="112" w:name="_Toc503531344"/>
      <w:bookmarkStart w:id="113" w:name="_Toc503532191"/>
      <w:bookmarkStart w:id="114" w:name="_Toc494713336"/>
      <w:bookmarkStart w:id="115" w:name="_Toc494713424"/>
      <w:bookmarkStart w:id="116" w:name="_Toc494734991"/>
      <w:bookmarkStart w:id="117" w:name="_Toc494735057"/>
      <w:bookmarkStart w:id="118" w:name="_Toc494735634"/>
      <w:bookmarkStart w:id="119" w:name="_Toc494745998"/>
      <w:bookmarkStart w:id="120" w:name="_Toc494746315"/>
      <w:bookmarkStart w:id="121" w:name="_Toc498464665"/>
      <w:bookmarkStart w:id="122" w:name="_Toc498464683"/>
      <w:bookmarkStart w:id="123" w:name="_Toc498679766"/>
      <w:bookmarkStart w:id="124" w:name="_Toc498680126"/>
      <w:bookmarkStart w:id="125" w:name="_Toc498680606"/>
      <w:bookmarkStart w:id="126" w:name="_Toc498680638"/>
      <w:bookmarkStart w:id="127" w:name="_Toc498680832"/>
      <w:bookmarkStart w:id="128" w:name="_Toc498681362"/>
      <w:bookmarkStart w:id="129" w:name="_Toc503546296"/>
      <w:r>
        <w:t xml:space="preserve">Proposal </w:t>
      </w:r>
      <w:fldSimple w:instr=" SEQ Proposal \* ARABIC ">
        <w:r w:rsidR="00763DBE">
          <w:rPr>
            <w:noProof/>
          </w:rPr>
          <w:t>7</w:t>
        </w:r>
      </w:fldSimple>
      <w:r>
        <w:t xml:space="preserve">: </w:t>
      </w:r>
      <w:r w:rsidRPr="0053268B">
        <w:t>When A/N is transmitted on a carrier with a smaller SCS, the overlapping slot is considered as K1=0.</w:t>
      </w:r>
      <w:bookmarkEnd w:id="104"/>
      <w:bookmarkEnd w:id="105"/>
      <w:bookmarkEnd w:id="106"/>
      <w:bookmarkEnd w:id="107"/>
      <w:bookmarkEnd w:id="108"/>
      <w:bookmarkEnd w:id="109"/>
      <w:bookmarkEnd w:id="110"/>
      <w:bookmarkEnd w:id="111"/>
      <w:bookmarkEnd w:id="112"/>
      <w:bookmarkEnd w:id="113"/>
      <w:bookmarkEnd w:id="129"/>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3617C767" w14:textId="77777777" w:rsidR="005A54DF" w:rsidRDefault="005A54DF" w:rsidP="005A54DF">
      <w:pPr>
        <w:rPr>
          <w:lang w:val="en-GB"/>
        </w:rPr>
      </w:pPr>
      <w:r>
        <w:rPr>
          <w:lang w:val="en-GB"/>
        </w:rPr>
        <w:t>For case 2, K1 definition needs some clarification. The following is proposed.</w:t>
      </w:r>
    </w:p>
    <w:p w14:paraId="72C8DAA1" w14:textId="0792437B" w:rsidR="006A76A6" w:rsidRDefault="006A76A6" w:rsidP="006A76A6">
      <w:pPr>
        <w:pStyle w:val="Caption"/>
      </w:pPr>
      <w:bookmarkStart w:id="130" w:name="_Toc498708430"/>
      <w:bookmarkStart w:id="131" w:name="_Toc498714731"/>
      <w:bookmarkStart w:id="132" w:name="_Toc498714748"/>
      <w:bookmarkStart w:id="133" w:name="_Toc498716917"/>
      <w:bookmarkStart w:id="134" w:name="_Toc498716982"/>
      <w:bookmarkStart w:id="135" w:name="_Toc498720485"/>
      <w:bookmarkStart w:id="136" w:name="_Toc498720521"/>
      <w:bookmarkStart w:id="137" w:name="_Toc503314562"/>
      <w:bookmarkStart w:id="138" w:name="_Toc503531345"/>
      <w:bookmarkStart w:id="139" w:name="_Toc503532192"/>
      <w:bookmarkStart w:id="140" w:name="_Toc494713337"/>
      <w:bookmarkStart w:id="141" w:name="_Toc494713425"/>
      <w:bookmarkStart w:id="142" w:name="_Toc494734992"/>
      <w:bookmarkStart w:id="143" w:name="_Toc494735058"/>
      <w:bookmarkStart w:id="144" w:name="_Toc494735635"/>
      <w:bookmarkStart w:id="145" w:name="_Toc494745999"/>
      <w:bookmarkStart w:id="146" w:name="_Toc494746316"/>
      <w:bookmarkStart w:id="147" w:name="_Toc498464666"/>
      <w:bookmarkStart w:id="148" w:name="_Toc498464684"/>
      <w:bookmarkStart w:id="149" w:name="_Toc498679767"/>
      <w:bookmarkStart w:id="150" w:name="_Toc498680127"/>
      <w:bookmarkStart w:id="151" w:name="_Toc498680607"/>
      <w:bookmarkStart w:id="152" w:name="_Toc498680639"/>
      <w:bookmarkStart w:id="153" w:name="_Toc498680833"/>
      <w:bookmarkStart w:id="154" w:name="_Toc498681363"/>
      <w:bookmarkStart w:id="155" w:name="_Toc503546297"/>
      <w:r>
        <w:t xml:space="preserve">Proposal </w:t>
      </w:r>
      <w:fldSimple w:instr=" SEQ Proposal \* ARABIC ">
        <w:r w:rsidR="00763DBE">
          <w:rPr>
            <w:noProof/>
          </w:rPr>
          <w:t>8</w:t>
        </w:r>
      </w:fldSimple>
      <w:r>
        <w:t xml:space="preserve">: </w:t>
      </w:r>
      <w:r w:rsidRPr="0053268B">
        <w:t>When A/N is transmitted on a carrier with a larger SCS, K1=0 is defined for the slot whose ending slot boundary is aligned with that of the slot containing PDSCH.</w:t>
      </w:r>
      <w:bookmarkEnd w:id="130"/>
      <w:bookmarkEnd w:id="131"/>
      <w:bookmarkEnd w:id="132"/>
      <w:bookmarkEnd w:id="133"/>
      <w:bookmarkEnd w:id="134"/>
      <w:bookmarkEnd w:id="135"/>
      <w:bookmarkEnd w:id="136"/>
      <w:bookmarkEnd w:id="137"/>
      <w:bookmarkEnd w:id="138"/>
      <w:bookmarkEnd w:id="139"/>
      <w:bookmarkEnd w:id="155"/>
    </w:p>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14:paraId="247F1408" w14:textId="77777777" w:rsidR="005A54DF" w:rsidRDefault="005A54DF" w:rsidP="005A54DF">
      <w:pPr>
        <w:rPr>
          <w:lang w:val="en-GB"/>
        </w:rPr>
      </w:pPr>
      <w:r>
        <w:rPr>
          <w:lang w:val="en-GB"/>
        </w:rPr>
        <w:lastRenderedPageBreak/>
        <w:t>In other words, slot 2n+1 becomes K1=0. Slot 2n+2 is K1=1, 2n+3 is K1=2 and so on.</w:t>
      </w:r>
    </w:p>
    <w:p w14:paraId="3A304D00" w14:textId="77777777" w:rsidR="005A54DF" w:rsidRDefault="005A54DF" w:rsidP="005A54DF">
      <w:pPr>
        <w:rPr>
          <w:lang w:val="en-GB"/>
        </w:rPr>
      </w:pPr>
    </w:p>
    <w:p w14:paraId="6A06C786" w14:textId="77777777" w:rsidR="005A54DF" w:rsidRDefault="005A54DF" w:rsidP="005A54DF">
      <w:pPr>
        <w:keepNext/>
        <w:jc w:val="center"/>
        <w:rPr>
          <w:lang w:val="en-GB"/>
        </w:rPr>
      </w:pPr>
      <w:r w:rsidRPr="000372BF">
        <w:object w:dxaOrig="9608" w:dyaOrig="1682" w14:anchorId="5B76384A">
          <v:shape id="_x0000_i1036" type="#_x0000_t75" style="width:481.1pt;height:84pt" o:ole="">
            <v:imagedata r:id="rId16" o:title=""/>
          </v:shape>
          <o:OLEObject Type="Embed" ProgID="Visio.Drawing.11" ShapeID="_x0000_i1036" DrawAspect="Content" ObjectID="_1577288558" r:id="rId17"/>
        </w:object>
      </w:r>
    </w:p>
    <w:p w14:paraId="2121474F" w14:textId="77777777" w:rsidR="005A54DF" w:rsidRDefault="005A54DF" w:rsidP="005A54DF">
      <w:pPr>
        <w:keepNext/>
        <w:jc w:val="center"/>
      </w:pPr>
      <w:r>
        <w:t>(a) Case 1: A/N transmitted on a carrier with smaller SCS</w:t>
      </w:r>
    </w:p>
    <w:p w14:paraId="14B95D32" w14:textId="77777777" w:rsidR="005A54DF" w:rsidRDefault="005A54DF" w:rsidP="005A54DF">
      <w:pPr>
        <w:jc w:val="center"/>
        <w:rPr>
          <w:lang w:val="en-GB"/>
        </w:rPr>
      </w:pPr>
      <w:r w:rsidRPr="007D73C2">
        <w:object w:dxaOrig="16502" w:dyaOrig="4341" w14:anchorId="615A560F">
          <v:shape id="_x0000_i1037" type="#_x0000_t75" style="width:481.65pt;height:127.65pt" o:ole="">
            <v:imagedata r:id="rId18" o:title=""/>
          </v:shape>
          <o:OLEObject Type="Embed" ProgID="Visio.Drawing.11" ShapeID="_x0000_i1037" DrawAspect="Content" ObjectID="_1577288559" r:id="rId19"/>
        </w:object>
      </w:r>
    </w:p>
    <w:p w14:paraId="2639032F" w14:textId="77777777" w:rsidR="005A54DF" w:rsidRDefault="005A54DF" w:rsidP="005A54DF">
      <w:pPr>
        <w:jc w:val="center"/>
        <w:rPr>
          <w:lang w:val="en-GB"/>
        </w:rPr>
      </w:pPr>
      <w:r>
        <w:rPr>
          <w:lang w:val="en-GB"/>
        </w:rPr>
        <w:t>(b) Case 2: A/N transmitted on a carrier with larger SCS</w:t>
      </w:r>
    </w:p>
    <w:p w14:paraId="743BE881" w14:textId="1447DBD1" w:rsidR="005A54DF" w:rsidRDefault="005A54DF" w:rsidP="005A54DF">
      <w:pPr>
        <w:pStyle w:val="Caption"/>
        <w:jc w:val="center"/>
      </w:pPr>
      <w:r>
        <w:t xml:space="preserve">Figure </w:t>
      </w:r>
      <w:fldSimple w:instr=" SEQ Figure \* ARABIC ">
        <w:r w:rsidR="00763DBE">
          <w:rPr>
            <w:noProof/>
          </w:rPr>
          <w:t>2</w:t>
        </w:r>
      </w:fldSimple>
      <w:r>
        <w:t>: Cross carrier ACK transmission with mixed numerology</w:t>
      </w:r>
    </w:p>
    <w:p w14:paraId="5CD03384" w14:textId="77777777" w:rsidR="000F5C75" w:rsidRDefault="000F5C75" w:rsidP="005A54DF"/>
    <w:p w14:paraId="3953932D" w14:textId="66E9E6B8" w:rsidR="005A54DF" w:rsidRDefault="000F5C75" w:rsidP="005A54DF">
      <w:r>
        <w:t xml:space="preserve">With regards to HARQ-ACK feedback </w:t>
      </w:r>
      <w:r w:rsidR="00663A5B">
        <w:t>multiplexing</w:t>
      </w:r>
      <w:r>
        <w:t xml:space="preserve">, there are two approaches to codebook construction: Semi-static codebook, or dynamic codebook. </w:t>
      </w:r>
      <w:r w:rsidR="00483F8D">
        <w:t>F</w:t>
      </w:r>
      <w:r>
        <w:t xml:space="preserve">or dynamic HARQ-ACK codebook, </w:t>
      </w:r>
      <w:r w:rsidR="00663A5B">
        <w:t xml:space="preserve">downlink assignment index (DAI) is an effective technique and </w:t>
      </w:r>
      <w:r>
        <w:t>it is worth pointing out that there are at least two ways to accumulate the DAI counter:</w:t>
      </w:r>
    </w:p>
    <w:p w14:paraId="4F921791" w14:textId="25F7ACD9" w:rsidR="000F5C75" w:rsidRDefault="000F5C75" w:rsidP="00FA680F">
      <w:pPr>
        <w:ind w:left="720" w:hanging="360"/>
      </w:pPr>
      <w:r>
        <w:t>Alt 1: Block-wise time-first, frequency-second</w:t>
      </w:r>
    </w:p>
    <w:p w14:paraId="5985F211" w14:textId="6216DACE" w:rsidR="000F5C75" w:rsidRDefault="000F5C75" w:rsidP="00FA680F">
      <w:pPr>
        <w:ind w:left="360"/>
      </w:pPr>
      <w:r>
        <w:t>Alt 2: Block-wise frequency-first, time-second</w:t>
      </w:r>
    </w:p>
    <w:p w14:paraId="13D7E2C3" w14:textId="5539520B" w:rsidR="000F5C75" w:rsidRDefault="000F5C75" w:rsidP="000F5C75">
      <w:r>
        <w:t>“Block-wise” refers to a given slot duration. Examples are illustrated below, with the assumption that all slots have PDSCH scheduled.</w:t>
      </w:r>
    </w:p>
    <w:p w14:paraId="1EE465D4" w14:textId="7EE7A7A2" w:rsidR="000F5C75" w:rsidRDefault="000F5C75">
      <w:r w:rsidRPr="000F5C75">
        <w:rPr>
          <w:noProof/>
        </w:rPr>
        <w:drawing>
          <wp:inline distT="0" distB="0" distL="0" distR="0" wp14:anchorId="1816F534" wp14:editId="64D7DDA0">
            <wp:extent cx="2898648" cy="1289304"/>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98648" cy="1289304"/>
                    </a:xfrm>
                    <a:prstGeom prst="rect">
                      <a:avLst/>
                    </a:prstGeom>
                  </pic:spPr>
                </pic:pic>
              </a:graphicData>
            </a:graphic>
          </wp:inline>
        </w:drawing>
      </w:r>
      <w:r w:rsidRPr="000F5C75">
        <w:rPr>
          <w:noProof/>
        </w:rPr>
        <w:drawing>
          <wp:inline distT="0" distB="0" distL="0" distR="0" wp14:anchorId="0D25F8E5" wp14:editId="4661B802">
            <wp:extent cx="2898648" cy="128930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98648" cy="1289304"/>
                    </a:xfrm>
                    <a:prstGeom prst="rect">
                      <a:avLst/>
                    </a:prstGeom>
                  </pic:spPr>
                </pic:pic>
              </a:graphicData>
            </a:graphic>
          </wp:inline>
        </w:drawing>
      </w:r>
    </w:p>
    <w:p w14:paraId="4547E31F" w14:textId="3E8F38EF" w:rsidR="000F5C75" w:rsidRDefault="000F5C75" w:rsidP="00FA680F">
      <w:pPr>
        <w:pStyle w:val="Caption"/>
        <w:jc w:val="center"/>
      </w:pPr>
      <w:r>
        <w:t xml:space="preserve">Figure </w:t>
      </w:r>
      <w:fldSimple w:instr=" SEQ Figure \* ARABIC ">
        <w:r w:rsidR="00763DBE">
          <w:rPr>
            <w:noProof/>
          </w:rPr>
          <w:t>3</w:t>
        </w:r>
      </w:fldSimple>
      <w:r>
        <w:t xml:space="preserve">: DAI </w:t>
      </w:r>
      <w:r w:rsidR="00663A5B">
        <w:t xml:space="preserve">counter </w:t>
      </w:r>
      <w:r>
        <w:t>accumulation order for CA with mixed numerology</w:t>
      </w:r>
    </w:p>
    <w:p w14:paraId="2DB46147" w14:textId="6E72CDA3" w:rsidR="000F5C75" w:rsidRDefault="000F5C75" w:rsidP="005A54DF">
      <w:r>
        <w:t>Alt 2 is preferable since the gNB does not have to predict where slot 2n+1 is to be scheduled or not when it is scheduling slot 2n and slot m.</w:t>
      </w:r>
    </w:p>
    <w:p w14:paraId="0F451451" w14:textId="70E4DCF0" w:rsidR="000F5C75" w:rsidRDefault="00663A5B" w:rsidP="00FA680F">
      <w:pPr>
        <w:pStyle w:val="Caption"/>
      </w:pPr>
      <w:bookmarkStart w:id="156" w:name="_Toc503531346"/>
      <w:bookmarkStart w:id="157" w:name="_Toc503532193"/>
      <w:bookmarkStart w:id="158" w:name="_Toc503546298"/>
      <w:r>
        <w:t xml:space="preserve">Proposal </w:t>
      </w:r>
      <w:fldSimple w:instr=" SEQ Proposal \* ARABIC ">
        <w:r w:rsidR="00763DBE">
          <w:rPr>
            <w:noProof/>
          </w:rPr>
          <w:t>9</w:t>
        </w:r>
      </w:fldSimple>
      <w:r>
        <w:t xml:space="preserve">: Frequency-first, time-second DAI counter accumulation order is preferred for dynamic </w:t>
      </w:r>
      <w:r w:rsidR="00483F8D">
        <w:t xml:space="preserve">HARQ-ACK </w:t>
      </w:r>
      <w:r>
        <w:t>codebook</w:t>
      </w:r>
      <w:bookmarkEnd w:id="156"/>
      <w:r w:rsidR="00483F8D">
        <w:t>.</w:t>
      </w:r>
      <w:bookmarkEnd w:id="157"/>
      <w:bookmarkEnd w:id="158"/>
    </w:p>
    <w:p w14:paraId="6E378EF9" w14:textId="77777777" w:rsidR="000F5C75" w:rsidRPr="00A54974" w:rsidRDefault="000F5C75" w:rsidP="005A54DF"/>
    <w:p w14:paraId="1B2098D8" w14:textId="77777777" w:rsidR="005A54DF" w:rsidRDefault="005A54DF" w:rsidP="005A54DF">
      <w:pPr>
        <w:pStyle w:val="Heading2"/>
        <w:tabs>
          <w:tab w:val="left" w:pos="720"/>
        </w:tabs>
        <w:textAlignment w:val="auto"/>
      </w:pPr>
      <w:r>
        <w:lastRenderedPageBreak/>
        <w:t>Power control with mixed numerology</w:t>
      </w:r>
    </w:p>
    <w:p w14:paraId="4C9467D7" w14:textId="5206797C" w:rsidR="005A54DF" w:rsidRDefault="005A54DF" w:rsidP="005A54DF">
      <w:pPr>
        <w:spacing w:after="120"/>
      </w:pPr>
      <w:r>
        <w:t>UL CA will also be supported with NR. When UL CCs have different numerologies, UE transmit power changes in the middle of the slot with a smaller SCS due to the slot boundary with a larger SCS. This may cause the gate state switching which causes phase discontinuity. Phase discontinuity will lead to demodulation performance degradation due to the mismatch between estimated channel and the channel experienced by the data channel. Due to this reason, it is proposed to have a single PC group corresponding to a group of the same numerology per band. CCs in inter-band CA can have individual PC group, given the use of separate PA/RF chains.</w:t>
      </w:r>
    </w:p>
    <w:p w14:paraId="5D6F6E86" w14:textId="51A7F1F2" w:rsidR="006A76A6" w:rsidRDefault="006A76A6" w:rsidP="006A76A6">
      <w:pPr>
        <w:pStyle w:val="Caption"/>
      </w:pPr>
      <w:bookmarkStart w:id="159" w:name="_Toc498708432"/>
      <w:bookmarkStart w:id="160" w:name="_Toc498714732"/>
      <w:bookmarkStart w:id="161" w:name="_Toc498714749"/>
      <w:bookmarkStart w:id="162" w:name="_Toc498716918"/>
      <w:bookmarkStart w:id="163" w:name="_Toc498716983"/>
      <w:bookmarkStart w:id="164" w:name="_Toc498720486"/>
      <w:bookmarkStart w:id="165" w:name="_Toc498720522"/>
      <w:bookmarkStart w:id="166" w:name="_Toc503314563"/>
      <w:bookmarkStart w:id="167" w:name="_Toc503531347"/>
      <w:bookmarkStart w:id="168" w:name="_Toc503532194"/>
      <w:bookmarkStart w:id="169" w:name="_Toc503546299"/>
      <w:r>
        <w:t xml:space="preserve">Proposal </w:t>
      </w:r>
      <w:fldSimple w:instr=" SEQ Proposal \* ARABIC ">
        <w:r w:rsidR="00763DBE">
          <w:rPr>
            <w:noProof/>
          </w:rPr>
          <w:t>10</w:t>
        </w:r>
      </w:fldSimple>
      <w:r>
        <w:t>: NR supports a single power control group corresponding to a group of the same numerology per band.</w:t>
      </w:r>
      <w:bookmarkEnd w:id="159"/>
      <w:bookmarkEnd w:id="160"/>
      <w:bookmarkEnd w:id="161"/>
      <w:bookmarkEnd w:id="162"/>
      <w:bookmarkEnd w:id="163"/>
      <w:bookmarkEnd w:id="164"/>
      <w:bookmarkEnd w:id="165"/>
      <w:bookmarkEnd w:id="166"/>
      <w:bookmarkEnd w:id="167"/>
      <w:bookmarkEnd w:id="168"/>
      <w:bookmarkEnd w:id="169"/>
    </w:p>
    <w:p w14:paraId="16CFBAF1" w14:textId="64614D05" w:rsidR="00E4038C" w:rsidRDefault="00E4038C" w:rsidP="00C227E3">
      <w:pPr>
        <w:pStyle w:val="Heading1"/>
        <w:rPr>
          <w:lang w:eastAsia="zh-CN"/>
        </w:rPr>
      </w:pPr>
      <w:r w:rsidRPr="00C227E3">
        <w:t>Conclusion</w:t>
      </w:r>
      <w:bookmarkStart w:id="170" w:name="_GoBack"/>
      <w:bookmarkEnd w:id="170"/>
    </w:p>
    <w:p w14:paraId="4A7CCD54" w14:textId="4942AF1B" w:rsidR="00AF5673" w:rsidRDefault="00A96F9C" w:rsidP="00AF5673">
      <w:pPr>
        <w:spacing w:after="120"/>
      </w:pPr>
      <w:r>
        <w:t xml:space="preserve">This contribution has presented issues </w:t>
      </w:r>
      <w:r w:rsidR="00832CA7">
        <w:t>in</w:t>
      </w:r>
      <w:r>
        <w:t xml:space="preserve"> CA with mixed numerology. </w:t>
      </w:r>
      <w:r w:rsidR="007B645F">
        <w:t>The following proposals have been made:</w:t>
      </w:r>
    </w:p>
    <w:p w14:paraId="63572407" w14:textId="1E447953" w:rsidR="002E19AD" w:rsidRPr="00803B79" w:rsidRDefault="002E19AD" w:rsidP="0053268B"/>
    <w:p w14:paraId="39F6D135" w14:textId="77777777" w:rsidR="00763DBE" w:rsidRDefault="00331915">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\c "Proposal" </w:instrText>
      </w:r>
      <w:r>
        <w:fldChar w:fldCharType="separate"/>
      </w:r>
      <w:r w:rsidR="00763DBE">
        <w:rPr>
          <w:noProof/>
        </w:rPr>
        <w:t>Proposal 1: Cross carrier slot-based scheduling is allowed toward equal or later slot only (defined by the beginning of the slot).</w:t>
      </w:r>
    </w:p>
    <w:p w14:paraId="4CC4BE29" w14:textId="77777777" w:rsidR="00763DBE" w:rsidRDefault="00763DBE">
      <w:pPr>
        <w:pStyle w:val="TableofFigures"/>
        <w:tabs>
          <w:tab w:val="right" w:leader="dot" w:pos="9628"/>
        </w:tabs>
        <w:rPr>
          <w:rFonts w:asciiTheme="minorHAnsi" w:eastAsiaTheme="minorEastAsia" w:hAnsiTheme="minorHAnsi" w:cstheme="minorBidi"/>
          <w:noProof/>
          <w:sz w:val="22"/>
          <w:szCs w:val="22"/>
        </w:rPr>
      </w:pPr>
      <w:r>
        <w:rPr>
          <w:noProof/>
        </w:rPr>
        <w:t>Proposal 2: When a larger SCS schedules a smaller SCS for DL data, the overlapping slot is considered as K0=0.</w:t>
      </w:r>
    </w:p>
    <w:p w14:paraId="32C017EB" w14:textId="77777777" w:rsidR="00763DBE" w:rsidRDefault="00763DBE">
      <w:pPr>
        <w:pStyle w:val="TableofFigures"/>
        <w:tabs>
          <w:tab w:val="right" w:leader="dot" w:pos="9628"/>
        </w:tabs>
        <w:rPr>
          <w:rFonts w:asciiTheme="minorHAnsi" w:eastAsiaTheme="minorEastAsia" w:hAnsiTheme="minorHAnsi" w:cstheme="minorBidi"/>
          <w:noProof/>
          <w:sz w:val="22"/>
          <w:szCs w:val="22"/>
        </w:rPr>
      </w:pPr>
      <w:r>
        <w:rPr>
          <w:noProof/>
        </w:rPr>
        <w:t>Proposal 3: When a smaller SCS schedules a larger SCS for DL data, K0=0 is defined for the slot whose beginning slot boundary is aligned with that of the slot containing PDCCH with DL grant.</w:t>
      </w:r>
    </w:p>
    <w:p w14:paraId="0E6250DD" w14:textId="77777777" w:rsidR="00763DBE" w:rsidRDefault="00763DBE">
      <w:pPr>
        <w:pStyle w:val="TableofFigures"/>
        <w:tabs>
          <w:tab w:val="right" w:leader="dot" w:pos="9628"/>
        </w:tabs>
        <w:rPr>
          <w:rFonts w:asciiTheme="minorHAnsi" w:eastAsiaTheme="minorEastAsia" w:hAnsiTheme="minorHAnsi" w:cstheme="minorBidi"/>
          <w:noProof/>
          <w:sz w:val="22"/>
          <w:szCs w:val="22"/>
        </w:rPr>
      </w:pPr>
      <w:r>
        <w:rPr>
          <w:noProof/>
        </w:rPr>
        <w:t>Proposal 4: A separate DCI per grant is supported for cross carrier scheduling with mixed numerology. A joint grant is also supported for NR.</w:t>
      </w:r>
    </w:p>
    <w:p w14:paraId="6CC4F47E" w14:textId="77777777" w:rsidR="00763DBE" w:rsidRDefault="00763DBE">
      <w:pPr>
        <w:pStyle w:val="TableofFigures"/>
        <w:tabs>
          <w:tab w:val="right" w:leader="dot" w:pos="9628"/>
        </w:tabs>
        <w:rPr>
          <w:rFonts w:asciiTheme="minorHAnsi" w:eastAsiaTheme="minorEastAsia" w:hAnsiTheme="minorHAnsi" w:cstheme="minorBidi"/>
          <w:noProof/>
          <w:sz w:val="22"/>
          <w:szCs w:val="22"/>
        </w:rPr>
      </w:pPr>
      <w:r>
        <w:rPr>
          <w:noProof/>
        </w:rPr>
        <w:t>Proposal 5: When a larger SCS schedules a smaller SCS for UL data, the overlapping slot is considered as K2=0.</w:t>
      </w:r>
    </w:p>
    <w:p w14:paraId="5AE4672E" w14:textId="77777777" w:rsidR="00763DBE" w:rsidRDefault="00763DBE">
      <w:pPr>
        <w:pStyle w:val="TableofFigures"/>
        <w:tabs>
          <w:tab w:val="right" w:leader="dot" w:pos="9628"/>
        </w:tabs>
        <w:rPr>
          <w:rFonts w:asciiTheme="minorHAnsi" w:eastAsiaTheme="minorEastAsia" w:hAnsiTheme="minorHAnsi" w:cstheme="minorBidi"/>
          <w:noProof/>
          <w:sz w:val="22"/>
          <w:szCs w:val="22"/>
        </w:rPr>
      </w:pPr>
      <w:r>
        <w:rPr>
          <w:noProof/>
        </w:rPr>
        <w:t>Proposal 6: When a smaller SCS schedules a larger SCS for UL data, K2=0 is defined for the slot whose beginning slot boundary is aligned with that of the slot containing PDCCH with UL grant.</w:t>
      </w:r>
    </w:p>
    <w:p w14:paraId="07572EA6" w14:textId="77777777" w:rsidR="00763DBE" w:rsidRDefault="00763DBE">
      <w:pPr>
        <w:pStyle w:val="TableofFigures"/>
        <w:tabs>
          <w:tab w:val="right" w:leader="dot" w:pos="9628"/>
        </w:tabs>
        <w:rPr>
          <w:rFonts w:asciiTheme="minorHAnsi" w:eastAsiaTheme="minorEastAsia" w:hAnsiTheme="minorHAnsi" w:cstheme="minorBidi"/>
          <w:noProof/>
          <w:sz w:val="22"/>
          <w:szCs w:val="22"/>
        </w:rPr>
      </w:pPr>
      <w:r>
        <w:rPr>
          <w:noProof/>
        </w:rPr>
        <w:t>Proposal 7: When A/N is transmitted on a carrier with a smaller SCS, the overlapping slot is considered as K1=0.</w:t>
      </w:r>
    </w:p>
    <w:p w14:paraId="36A54F1A" w14:textId="77777777" w:rsidR="00763DBE" w:rsidRDefault="00763DBE">
      <w:pPr>
        <w:pStyle w:val="TableofFigures"/>
        <w:tabs>
          <w:tab w:val="right" w:leader="dot" w:pos="9628"/>
        </w:tabs>
        <w:rPr>
          <w:rFonts w:asciiTheme="minorHAnsi" w:eastAsiaTheme="minorEastAsia" w:hAnsiTheme="minorHAnsi" w:cstheme="minorBidi"/>
          <w:noProof/>
          <w:sz w:val="22"/>
          <w:szCs w:val="22"/>
        </w:rPr>
      </w:pPr>
      <w:r>
        <w:rPr>
          <w:noProof/>
        </w:rPr>
        <w:t>Proposal 8: When A/N is transmitted on a carrier with a larger SCS, K1=0 is defined for the slot whose ending slot boundary is aligned with that of the slot containing PDSCH.</w:t>
      </w:r>
    </w:p>
    <w:p w14:paraId="7ED86624" w14:textId="77777777" w:rsidR="00763DBE" w:rsidRDefault="00763DBE">
      <w:pPr>
        <w:pStyle w:val="TableofFigures"/>
        <w:tabs>
          <w:tab w:val="right" w:leader="dot" w:pos="9628"/>
        </w:tabs>
        <w:rPr>
          <w:rFonts w:asciiTheme="minorHAnsi" w:eastAsiaTheme="minorEastAsia" w:hAnsiTheme="minorHAnsi" w:cstheme="minorBidi"/>
          <w:noProof/>
          <w:sz w:val="22"/>
          <w:szCs w:val="22"/>
        </w:rPr>
      </w:pPr>
      <w:r>
        <w:rPr>
          <w:noProof/>
        </w:rPr>
        <w:t>Proposal 9: Frequency-first, time-second DAI counter accumulation order is preferred for dynamic HARQ-ACK codebook.</w:t>
      </w:r>
    </w:p>
    <w:p w14:paraId="4ED38124" w14:textId="77777777" w:rsidR="00763DBE" w:rsidRDefault="00763DBE">
      <w:pPr>
        <w:pStyle w:val="TableofFigures"/>
        <w:tabs>
          <w:tab w:val="right" w:leader="dot" w:pos="9628"/>
        </w:tabs>
        <w:rPr>
          <w:rFonts w:asciiTheme="minorHAnsi" w:eastAsiaTheme="minorEastAsia" w:hAnsiTheme="minorHAnsi" w:cstheme="minorBidi"/>
          <w:noProof/>
          <w:sz w:val="22"/>
          <w:szCs w:val="22"/>
        </w:rPr>
      </w:pPr>
      <w:r>
        <w:rPr>
          <w:noProof/>
        </w:rPr>
        <w:t>Proposal 10: NR supports a single power control group corresponding to a group of the same numerology per band.</w:t>
      </w:r>
    </w:p>
    <w:p w14:paraId="5BDA1C8B" w14:textId="036CA1DD" w:rsidR="00854A0C" w:rsidRPr="00260669" w:rsidRDefault="00331915" w:rsidP="00FA680F">
      <w:pPr>
        <w:pStyle w:val="Caption"/>
        <w:ind w:left="720"/>
      </w:pPr>
      <w:r>
        <w:fldChar w:fldCharType="end"/>
      </w:r>
    </w:p>
    <w:sectPr w:rsidR="00854A0C" w:rsidRPr="00260669" w:rsidSect="008331BB">
      <w:headerReference w:type="even" r:id="rId22"/>
      <w:footerReference w:type="even" r:id="rId23"/>
      <w:footerReference w:type="default" r:id="rId24"/>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C135B" w14:textId="77777777" w:rsidR="00E26DD2" w:rsidRDefault="00E26DD2">
      <w:r>
        <w:separator/>
      </w:r>
    </w:p>
  </w:endnote>
  <w:endnote w:type="continuationSeparator" w:id="0">
    <w:p w14:paraId="1BC65F44" w14:textId="77777777" w:rsidR="00E26DD2" w:rsidRDefault="00E26DD2">
      <w:r>
        <w:continuationSeparator/>
      </w:r>
    </w:p>
  </w:endnote>
  <w:endnote w:type="continuationNotice" w:id="1">
    <w:p w14:paraId="008CAE6F" w14:textId="77777777" w:rsidR="00E26DD2" w:rsidRDefault="00E26D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0F5C75" w:rsidRDefault="000F5C7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0F5C75" w:rsidRDefault="000F5C7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499099B1" w:rsidR="000F5C75" w:rsidRDefault="000F5C7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D611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6115">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96738" w14:textId="77777777" w:rsidR="00E26DD2" w:rsidRDefault="00E26DD2">
      <w:r>
        <w:separator/>
      </w:r>
    </w:p>
  </w:footnote>
  <w:footnote w:type="continuationSeparator" w:id="0">
    <w:p w14:paraId="0F81F0F0" w14:textId="77777777" w:rsidR="00E26DD2" w:rsidRDefault="00E26DD2">
      <w:r>
        <w:continuationSeparator/>
      </w:r>
    </w:p>
  </w:footnote>
  <w:footnote w:type="continuationNotice" w:id="1">
    <w:p w14:paraId="6067FBE0" w14:textId="77777777" w:rsidR="00E26DD2" w:rsidRDefault="00E26D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0F5C75" w:rsidRDefault="000F5C7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8pt;height:15.8pt" o:bullet="t">
        <v:imagedata r:id="rId1" o:title="art458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CA4664"/>
    <w:multiLevelType w:val="hybridMultilevel"/>
    <w:tmpl w:val="5F8C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518DD"/>
    <w:multiLevelType w:val="hybridMultilevel"/>
    <w:tmpl w:val="F4B8F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F836F8"/>
    <w:multiLevelType w:val="hybridMultilevel"/>
    <w:tmpl w:val="0626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6D177E"/>
    <w:multiLevelType w:val="hybridMultilevel"/>
    <w:tmpl w:val="C7E4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472AD"/>
    <w:multiLevelType w:val="hybridMultilevel"/>
    <w:tmpl w:val="55FAD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2585BDE"/>
    <w:multiLevelType w:val="hybridMultilevel"/>
    <w:tmpl w:val="14F08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BF127DC"/>
    <w:multiLevelType w:val="hybridMultilevel"/>
    <w:tmpl w:val="CEE49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15101B"/>
    <w:multiLevelType w:val="hybridMultilevel"/>
    <w:tmpl w:val="341EACFA"/>
    <w:lvl w:ilvl="0" w:tplc="A634B9E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1B6999"/>
    <w:multiLevelType w:val="hybridMultilevel"/>
    <w:tmpl w:val="C7CC8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5A7989"/>
    <w:multiLevelType w:val="hybridMultilevel"/>
    <w:tmpl w:val="E668CEE0"/>
    <w:lvl w:ilvl="0" w:tplc="4E6028C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F92B60"/>
    <w:multiLevelType w:val="hybridMultilevel"/>
    <w:tmpl w:val="7DBAE566"/>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5" w15:restartNumberingAfterBreak="0">
    <w:nsid w:val="33B200D7"/>
    <w:multiLevelType w:val="hybridMultilevel"/>
    <w:tmpl w:val="53CAB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7B3024D"/>
    <w:multiLevelType w:val="hybridMultilevel"/>
    <w:tmpl w:val="E3469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0605E6"/>
    <w:multiLevelType w:val="hybridMultilevel"/>
    <w:tmpl w:val="D5909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CA2B19"/>
    <w:multiLevelType w:val="hybridMultilevel"/>
    <w:tmpl w:val="BFCEF0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21E2CEA"/>
    <w:multiLevelType w:val="hybridMultilevel"/>
    <w:tmpl w:val="6D0E2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8FB"/>
    <w:multiLevelType w:val="hybridMultilevel"/>
    <w:tmpl w:val="22AEC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3D439A"/>
    <w:multiLevelType w:val="hybridMultilevel"/>
    <w:tmpl w:val="FE000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0D19EE"/>
    <w:multiLevelType w:val="hybridMultilevel"/>
    <w:tmpl w:val="5A46C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4136BE"/>
    <w:multiLevelType w:val="hybridMultilevel"/>
    <w:tmpl w:val="7FF6A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AAF22B5"/>
    <w:multiLevelType w:val="hybridMultilevel"/>
    <w:tmpl w:val="F49CBC10"/>
    <w:lvl w:ilvl="0" w:tplc="7DC2F8D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84DC6C9E">
      <w:numFmt w:val="bullet"/>
      <w:lvlText w:val="•"/>
      <w:lvlJc w:val="left"/>
      <w:pPr>
        <w:tabs>
          <w:tab w:val="num" w:pos="1800"/>
        </w:tabs>
        <w:ind w:left="1800" w:hanging="360"/>
      </w:pPr>
      <w:rPr>
        <w:rFonts w:ascii="Arial" w:hAnsi="Arial" w:cs="Times New Roman" w:hint="default"/>
      </w:rPr>
    </w:lvl>
    <w:lvl w:ilvl="3" w:tplc="4456056A">
      <w:numFmt w:val="bullet"/>
      <w:lvlText w:val="•"/>
      <w:lvlJc w:val="left"/>
      <w:pPr>
        <w:tabs>
          <w:tab w:val="num" w:pos="2520"/>
        </w:tabs>
        <w:ind w:left="2520" w:hanging="360"/>
      </w:pPr>
      <w:rPr>
        <w:rFonts w:ascii="Arial" w:hAnsi="Arial" w:cs="Times New Roman" w:hint="default"/>
      </w:rPr>
    </w:lvl>
    <w:lvl w:ilvl="4" w:tplc="1C22A16A">
      <w:start w:val="1"/>
      <w:numFmt w:val="bullet"/>
      <w:lvlText w:val="•"/>
      <w:lvlJc w:val="left"/>
      <w:pPr>
        <w:tabs>
          <w:tab w:val="num" w:pos="3240"/>
        </w:tabs>
        <w:ind w:left="3240" w:hanging="360"/>
      </w:pPr>
      <w:rPr>
        <w:rFonts w:ascii="Arial" w:hAnsi="Arial" w:cs="Times New Roman" w:hint="default"/>
      </w:rPr>
    </w:lvl>
    <w:lvl w:ilvl="5" w:tplc="D6CA8230">
      <w:start w:val="1"/>
      <w:numFmt w:val="bullet"/>
      <w:lvlText w:val="•"/>
      <w:lvlJc w:val="left"/>
      <w:pPr>
        <w:tabs>
          <w:tab w:val="num" w:pos="3960"/>
        </w:tabs>
        <w:ind w:left="3960" w:hanging="360"/>
      </w:pPr>
      <w:rPr>
        <w:rFonts w:ascii="Arial" w:hAnsi="Arial" w:cs="Times New Roman" w:hint="default"/>
      </w:rPr>
    </w:lvl>
    <w:lvl w:ilvl="6" w:tplc="147C5EF2">
      <w:start w:val="1"/>
      <w:numFmt w:val="bullet"/>
      <w:lvlText w:val="•"/>
      <w:lvlJc w:val="left"/>
      <w:pPr>
        <w:tabs>
          <w:tab w:val="num" w:pos="4680"/>
        </w:tabs>
        <w:ind w:left="4680" w:hanging="360"/>
      </w:pPr>
      <w:rPr>
        <w:rFonts w:ascii="Arial" w:hAnsi="Arial" w:cs="Times New Roman" w:hint="default"/>
      </w:rPr>
    </w:lvl>
    <w:lvl w:ilvl="7" w:tplc="FFCCF2C2">
      <w:start w:val="1"/>
      <w:numFmt w:val="bullet"/>
      <w:lvlText w:val="•"/>
      <w:lvlJc w:val="left"/>
      <w:pPr>
        <w:tabs>
          <w:tab w:val="num" w:pos="5400"/>
        </w:tabs>
        <w:ind w:left="5400" w:hanging="360"/>
      </w:pPr>
      <w:rPr>
        <w:rFonts w:ascii="Arial" w:hAnsi="Arial" w:cs="Times New Roman" w:hint="default"/>
      </w:rPr>
    </w:lvl>
    <w:lvl w:ilvl="8" w:tplc="AE2A1292">
      <w:start w:val="1"/>
      <w:numFmt w:val="bullet"/>
      <w:lvlText w:val="•"/>
      <w:lvlJc w:val="left"/>
      <w:pPr>
        <w:tabs>
          <w:tab w:val="num" w:pos="6120"/>
        </w:tabs>
        <w:ind w:left="6120" w:hanging="360"/>
      </w:pPr>
      <w:rPr>
        <w:rFonts w:ascii="Arial" w:hAnsi="Arial" w:cs="Times New Roman" w:hint="default"/>
      </w:rPr>
    </w:lvl>
  </w:abstractNum>
  <w:abstractNum w:abstractNumId="38" w15:restartNumberingAfterBreak="0">
    <w:nsid w:val="5E9C46AC"/>
    <w:multiLevelType w:val="hybridMultilevel"/>
    <w:tmpl w:val="C6EAA406"/>
    <w:lvl w:ilvl="0" w:tplc="77EC3E24">
      <w:start w:val="1"/>
      <w:numFmt w:val="decimal"/>
      <w:lvlText w:val="[%1]"/>
      <w:lvlJc w:val="left"/>
      <w:pPr>
        <w:ind w:left="360" w:hanging="360"/>
      </w:pPr>
      <w:rPr>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0404992"/>
    <w:multiLevelType w:val="hybridMultilevel"/>
    <w:tmpl w:val="5DCE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61348A"/>
    <w:multiLevelType w:val="hybridMultilevel"/>
    <w:tmpl w:val="B61E5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8B5948"/>
    <w:multiLevelType w:val="hybridMultilevel"/>
    <w:tmpl w:val="09AEC92C"/>
    <w:lvl w:ilvl="0" w:tplc="17EAEB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34359F"/>
    <w:multiLevelType w:val="hybridMultilevel"/>
    <w:tmpl w:val="A538C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8330A4E"/>
    <w:multiLevelType w:val="hybridMultilevel"/>
    <w:tmpl w:val="41106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0B7E51"/>
    <w:multiLevelType w:val="hybridMultilevel"/>
    <w:tmpl w:val="668E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1007E3"/>
    <w:multiLevelType w:val="hybridMultilevel"/>
    <w:tmpl w:val="99361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29"/>
  </w:num>
  <w:num w:numId="4">
    <w:abstractNumId w:val="24"/>
  </w:num>
  <w:num w:numId="5">
    <w:abstractNumId w:val="9"/>
  </w:num>
  <w:num w:numId="6">
    <w:abstractNumId w:val="20"/>
  </w:num>
  <w:num w:numId="7">
    <w:abstractNumId w:val="17"/>
  </w:num>
  <w:num w:numId="8">
    <w:abstractNumId w:val="23"/>
  </w:num>
  <w:num w:numId="9">
    <w:abstractNumId w:val="8"/>
  </w:num>
  <w:num w:numId="10">
    <w:abstractNumId w:val="46"/>
  </w:num>
  <w:num w:numId="11">
    <w:abstractNumId w:val="7"/>
  </w:num>
  <w:num w:numId="12">
    <w:abstractNumId w:val="26"/>
  </w:num>
  <w:num w:numId="13">
    <w:abstractNumId w:val="22"/>
  </w:num>
  <w:num w:numId="14">
    <w:abstractNumId w:val="12"/>
  </w:num>
  <w:num w:numId="15">
    <w:abstractNumId w:val="11"/>
  </w:num>
  <w:num w:numId="16">
    <w:abstractNumId w:val="6"/>
  </w:num>
  <w:num w:numId="17">
    <w:abstractNumId w:val="28"/>
  </w:num>
  <w:num w:numId="18">
    <w:abstractNumId w:val="13"/>
  </w:num>
  <w:num w:numId="19">
    <w:abstractNumId w:val="44"/>
  </w:num>
  <w:num w:numId="20">
    <w:abstractNumId w:val="16"/>
  </w:num>
  <w:num w:numId="21">
    <w:abstractNumId w:val="39"/>
  </w:num>
  <w:num w:numId="22">
    <w:abstractNumId w:val="5"/>
  </w:num>
  <w:num w:numId="23">
    <w:abstractNumId w:val="43"/>
  </w:num>
  <w:num w:numId="24">
    <w:abstractNumId w:val="18"/>
  </w:num>
  <w:num w:numId="25">
    <w:abstractNumId w:val="36"/>
  </w:num>
  <w:num w:numId="26">
    <w:abstractNumId w:val="25"/>
  </w:num>
  <w:num w:numId="27">
    <w:abstractNumId w:val="10"/>
  </w:num>
  <w:num w:numId="28">
    <w:abstractNumId w:val="42"/>
  </w:num>
  <w:num w:numId="29">
    <w:abstractNumId w:val="32"/>
  </w:num>
  <w:num w:numId="30">
    <w:abstractNumId w:val="0"/>
  </w:num>
  <w:num w:numId="31">
    <w:abstractNumId w:val="1"/>
  </w:num>
  <w:num w:numId="32">
    <w:abstractNumId w:val="41"/>
  </w:num>
  <w:num w:numId="33">
    <w:abstractNumId w:val="15"/>
  </w:num>
  <w:num w:numId="34">
    <w:abstractNumId w:val="33"/>
  </w:num>
  <w:num w:numId="35">
    <w:abstractNumId w:val="34"/>
  </w:num>
  <w:num w:numId="36">
    <w:abstractNumId w:val="14"/>
  </w:num>
  <w:num w:numId="37">
    <w:abstractNumId w:val="38"/>
  </w:num>
  <w:num w:numId="38">
    <w:abstractNumId w:val="37"/>
  </w:num>
  <w:num w:numId="39">
    <w:abstractNumId w:val="31"/>
  </w:num>
  <w:num w:numId="40">
    <w:abstractNumId w:val="47"/>
  </w:num>
  <w:num w:numId="41">
    <w:abstractNumId w:val="21"/>
  </w:num>
  <w:num w:numId="42">
    <w:abstractNumId w:val="30"/>
  </w:num>
  <w:num w:numId="43">
    <w:abstractNumId w:val="2"/>
  </w:num>
  <w:num w:numId="44">
    <w:abstractNumId w:val="45"/>
  </w:num>
  <w:num w:numId="45">
    <w:abstractNumId w:val="27"/>
  </w:num>
  <w:num w:numId="46">
    <w:abstractNumId w:val="3"/>
  </w:num>
  <w:num w:numId="47">
    <w:abstractNumId w:val="40"/>
  </w:num>
  <w:num w:numId="48">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B0E"/>
    <w:rsid w:val="00003EF4"/>
    <w:rsid w:val="0000403F"/>
    <w:rsid w:val="00004885"/>
    <w:rsid w:val="00004D8C"/>
    <w:rsid w:val="00004DCB"/>
    <w:rsid w:val="000051F0"/>
    <w:rsid w:val="0000545A"/>
    <w:rsid w:val="0000553B"/>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24D1"/>
    <w:rsid w:val="00012D57"/>
    <w:rsid w:val="0001321B"/>
    <w:rsid w:val="0001369A"/>
    <w:rsid w:val="000137BA"/>
    <w:rsid w:val="00013B63"/>
    <w:rsid w:val="00013F64"/>
    <w:rsid w:val="000141F0"/>
    <w:rsid w:val="00014E0E"/>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96"/>
    <w:rsid w:val="00021C67"/>
    <w:rsid w:val="00021DEC"/>
    <w:rsid w:val="00021FE3"/>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BFC"/>
    <w:rsid w:val="000430CF"/>
    <w:rsid w:val="00043266"/>
    <w:rsid w:val="00043407"/>
    <w:rsid w:val="00043703"/>
    <w:rsid w:val="00044225"/>
    <w:rsid w:val="00044576"/>
    <w:rsid w:val="00044872"/>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32D0"/>
    <w:rsid w:val="00083322"/>
    <w:rsid w:val="0008399B"/>
    <w:rsid w:val="00083ABE"/>
    <w:rsid w:val="00083DB2"/>
    <w:rsid w:val="00084255"/>
    <w:rsid w:val="00085239"/>
    <w:rsid w:val="000855A3"/>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2D36"/>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6D9"/>
    <w:rsid w:val="001517AB"/>
    <w:rsid w:val="00151805"/>
    <w:rsid w:val="00151897"/>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799"/>
    <w:rsid w:val="001B1565"/>
    <w:rsid w:val="001B2993"/>
    <w:rsid w:val="001B2C18"/>
    <w:rsid w:val="001B35C1"/>
    <w:rsid w:val="001B3754"/>
    <w:rsid w:val="001B3A10"/>
    <w:rsid w:val="001B4371"/>
    <w:rsid w:val="001B5332"/>
    <w:rsid w:val="001B54E9"/>
    <w:rsid w:val="001B55DE"/>
    <w:rsid w:val="001B635D"/>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7C4"/>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44C8"/>
    <w:rsid w:val="002349C5"/>
    <w:rsid w:val="00234B73"/>
    <w:rsid w:val="00235581"/>
    <w:rsid w:val="00235698"/>
    <w:rsid w:val="00236850"/>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B7F"/>
    <w:rsid w:val="00243FCB"/>
    <w:rsid w:val="0024445A"/>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B40"/>
    <w:rsid w:val="002B3D90"/>
    <w:rsid w:val="002B453B"/>
    <w:rsid w:val="002B4C39"/>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80543"/>
    <w:rsid w:val="00380602"/>
    <w:rsid w:val="00380892"/>
    <w:rsid w:val="00380BBD"/>
    <w:rsid w:val="00380FF5"/>
    <w:rsid w:val="0038158E"/>
    <w:rsid w:val="003821E7"/>
    <w:rsid w:val="00382903"/>
    <w:rsid w:val="00383D4B"/>
    <w:rsid w:val="00383DDB"/>
    <w:rsid w:val="003842A8"/>
    <w:rsid w:val="00384747"/>
    <w:rsid w:val="003848D9"/>
    <w:rsid w:val="00384BC0"/>
    <w:rsid w:val="00384BD4"/>
    <w:rsid w:val="003852CC"/>
    <w:rsid w:val="00385A70"/>
    <w:rsid w:val="00385BD7"/>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138"/>
    <w:rsid w:val="003C07D7"/>
    <w:rsid w:val="003C0985"/>
    <w:rsid w:val="003C0E4F"/>
    <w:rsid w:val="003C10B8"/>
    <w:rsid w:val="003C2C9D"/>
    <w:rsid w:val="003C35BB"/>
    <w:rsid w:val="003C3B73"/>
    <w:rsid w:val="003C3D6E"/>
    <w:rsid w:val="003C3F8B"/>
    <w:rsid w:val="003C4213"/>
    <w:rsid w:val="003C4250"/>
    <w:rsid w:val="003C44DB"/>
    <w:rsid w:val="003C4B1C"/>
    <w:rsid w:val="003C4F25"/>
    <w:rsid w:val="003C64CD"/>
    <w:rsid w:val="003C6580"/>
    <w:rsid w:val="003C6CCB"/>
    <w:rsid w:val="003C6DA9"/>
    <w:rsid w:val="003C7855"/>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181"/>
    <w:rsid w:val="004003B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1029D"/>
    <w:rsid w:val="004102A7"/>
    <w:rsid w:val="00410700"/>
    <w:rsid w:val="00411230"/>
    <w:rsid w:val="00411472"/>
    <w:rsid w:val="00411558"/>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E42"/>
    <w:rsid w:val="00425FFD"/>
    <w:rsid w:val="004262F8"/>
    <w:rsid w:val="00426442"/>
    <w:rsid w:val="0042654A"/>
    <w:rsid w:val="00426A93"/>
    <w:rsid w:val="00426D1A"/>
    <w:rsid w:val="00426DFA"/>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F02"/>
    <w:rsid w:val="004D602D"/>
    <w:rsid w:val="004D6115"/>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826"/>
    <w:rsid w:val="004F2AA6"/>
    <w:rsid w:val="004F2B9C"/>
    <w:rsid w:val="004F2CCE"/>
    <w:rsid w:val="004F3368"/>
    <w:rsid w:val="004F3546"/>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626"/>
    <w:rsid w:val="00510CE2"/>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6EB8"/>
    <w:rsid w:val="005173A4"/>
    <w:rsid w:val="005179DC"/>
    <w:rsid w:val="0052001B"/>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AD"/>
    <w:rsid w:val="00545C3D"/>
    <w:rsid w:val="00545E6A"/>
    <w:rsid w:val="00546310"/>
    <w:rsid w:val="00546738"/>
    <w:rsid w:val="005467D6"/>
    <w:rsid w:val="00546942"/>
    <w:rsid w:val="00546CDA"/>
    <w:rsid w:val="00546D63"/>
    <w:rsid w:val="005471A3"/>
    <w:rsid w:val="00547D9B"/>
    <w:rsid w:val="00547F14"/>
    <w:rsid w:val="0055088A"/>
    <w:rsid w:val="00550D6F"/>
    <w:rsid w:val="005511B1"/>
    <w:rsid w:val="00551248"/>
    <w:rsid w:val="00551483"/>
    <w:rsid w:val="0055157F"/>
    <w:rsid w:val="0055159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34D"/>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4DF"/>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3CE"/>
    <w:rsid w:val="005C376D"/>
    <w:rsid w:val="005C46D7"/>
    <w:rsid w:val="005C4B4D"/>
    <w:rsid w:val="005C4CD6"/>
    <w:rsid w:val="005C4DE3"/>
    <w:rsid w:val="005C5024"/>
    <w:rsid w:val="005C5372"/>
    <w:rsid w:val="005C5379"/>
    <w:rsid w:val="005C537D"/>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AEB"/>
    <w:rsid w:val="00623E4E"/>
    <w:rsid w:val="00624C2C"/>
    <w:rsid w:val="00624C6E"/>
    <w:rsid w:val="00624FB3"/>
    <w:rsid w:val="00624FF1"/>
    <w:rsid w:val="0062587D"/>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D1E"/>
    <w:rsid w:val="00650D3F"/>
    <w:rsid w:val="00650EB1"/>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F1A"/>
    <w:rsid w:val="006A4FF3"/>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C"/>
    <w:rsid w:val="006B7864"/>
    <w:rsid w:val="006C03B2"/>
    <w:rsid w:val="006C09D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3AD"/>
    <w:rsid w:val="0072650B"/>
    <w:rsid w:val="00726537"/>
    <w:rsid w:val="0072665F"/>
    <w:rsid w:val="007273EC"/>
    <w:rsid w:val="007279F1"/>
    <w:rsid w:val="00727E9F"/>
    <w:rsid w:val="00730F0F"/>
    <w:rsid w:val="00730FB9"/>
    <w:rsid w:val="0073128B"/>
    <w:rsid w:val="0073150C"/>
    <w:rsid w:val="0073171A"/>
    <w:rsid w:val="007325D3"/>
    <w:rsid w:val="00732885"/>
    <w:rsid w:val="00733858"/>
    <w:rsid w:val="00733A80"/>
    <w:rsid w:val="0073487C"/>
    <w:rsid w:val="0073497A"/>
    <w:rsid w:val="0073532A"/>
    <w:rsid w:val="00735E35"/>
    <w:rsid w:val="0073637C"/>
    <w:rsid w:val="00736803"/>
    <w:rsid w:val="00736886"/>
    <w:rsid w:val="00736D7B"/>
    <w:rsid w:val="007377ED"/>
    <w:rsid w:val="007379C8"/>
    <w:rsid w:val="007406A2"/>
    <w:rsid w:val="007406C0"/>
    <w:rsid w:val="00740AC1"/>
    <w:rsid w:val="00740B5C"/>
    <w:rsid w:val="00740BF9"/>
    <w:rsid w:val="0074108B"/>
    <w:rsid w:val="00741434"/>
    <w:rsid w:val="0074146A"/>
    <w:rsid w:val="007415B6"/>
    <w:rsid w:val="00741A56"/>
    <w:rsid w:val="007420C9"/>
    <w:rsid w:val="00742695"/>
    <w:rsid w:val="00742A51"/>
    <w:rsid w:val="00743468"/>
    <w:rsid w:val="007435B1"/>
    <w:rsid w:val="007436B1"/>
    <w:rsid w:val="007436D5"/>
    <w:rsid w:val="00743867"/>
    <w:rsid w:val="00744055"/>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DBE"/>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C35"/>
    <w:rsid w:val="00775EFD"/>
    <w:rsid w:val="00775F11"/>
    <w:rsid w:val="00776351"/>
    <w:rsid w:val="007765B0"/>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2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6F0"/>
    <w:rsid w:val="007B5A66"/>
    <w:rsid w:val="007B630D"/>
    <w:rsid w:val="007B645F"/>
    <w:rsid w:val="007B6B0D"/>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477"/>
    <w:rsid w:val="007F2DBB"/>
    <w:rsid w:val="007F2ED4"/>
    <w:rsid w:val="007F3507"/>
    <w:rsid w:val="007F3960"/>
    <w:rsid w:val="007F3F4E"/>
    <w:rsid w:val="007F3FB0"/>
    <w:rsid w:val="007F43A9"/>
    <w:rsid w:val="007F4FEA"/>
    <w:rsid w:val="007F54CD"/>
    <w:rsid w:val="007F5605"/>
    <w:rsid w:val="007F5608"/>
    <w:rsid w:val="007F5874"/>
    <w:rsid w:val="007F5D4A"/>
    <w:rsid w:val="007F6020"/>
    <w:rsid w:val="007F6562"/>
    <w:rsid w:val="007F65F2"/>
    <w:rsid w:val="007F6772"/>
    <w:rsid w:val="007F6AD2"/>
    <w:rsid w:val="007F70D6"/>
    <w:rsid w:val="007F7237"/>
    <w:rsid w:val="007F7723"/>
    <w:rsid w:val="007F7733"/>
    <w:rsid w:val="007F7864"/>
    <w:rsid w:val="007F795B"/>
    <w:rsid w:val="007F7DCC"/>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5243"/>
    <w:rsid w:val="00895A0C"/>
    <w:rsid w:val="00895AA1"/>
    <w:rsid w:val="00895E55"/>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88A"/>
    <w:rsid w:val="008A294D"/>
    <w:rsid w:val="008A2AAE"/>
    <w:rsid w:val="008A2F26"/>
    <w:rsid w:val="008A36ED"/>
    <w:rsid w:val="008A3898"/>
    <w:rsid w:val="008A39E2"/>
    <w:rsid w:val="008A42D8"/>
    <w:rsid w:val="008A457F"/>
    <w:rsid w:val="008A47BC"/>
    <w:rsid w:val="008A4DAC"/>
    <w:rsid w:val="008A4E04"/>
    <w:rsid w:val="008A53C3"/>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BEE"/>
    <w:rsid w:val="00910874"/>
    <w:rsid w:val="009108A7"/>
    <w:rsid w:val="009112C7"/>
    <w:rsid w:val="00911A5A"/>
    <w:rsid w:val="00911E1A"/>
    <w:rsid w:val="0091225D"/>
    <w:rsid w:val="009123B9"/>
    <w:rsid w:val="00912A63"/>
    <w:rsid w:val="00912A96"/>
    <w:rsid w:val="00912F6D"/>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747"/>
    <w:rsid w:val="00934FFD"/>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8CE"/>
    <w:rsid w:val="00983B9C"/>
    <w:rsid w:val="00983BD1"/>
    <w:rsid w:val="00983C41"/>
    <w:rsid w:val="00984206"/>
    <w:rsid w:val="009846DE"/>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A6D"/>
    <w:rsid w:val="009A3AB5"/>
    <w:rsid w:val="009A3BA5"/>
    <w:rsid w:val="009A4AA9"/>
    <w:rsid w:val="009A4EA0"/>
    <w:rsid w:val="009A516A"/>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AFB"/>
    <w:rsid w:val="00A34BE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6F9C"/>
    <w:rsid w:val="00A9727C"/>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4D67"/>
    <w:rsid w:val="00AB4EFB"/>
    <w:rsid w:val="00AB513E"/>
    <w:rsid w:val="00AB51DA"/>
    <w:rsid w:val="00AB53BA"/>
    <w:rsid w:val="00AB57AD"/>
    <w:rsid w:val="00AB583A"/>
    <w:rsid w:val="00AB5E39"/>
    <w:rsid w:val="00AB607B"/>
    <w:rsid w:val="00AB642C"/>
    <w:rsid w:val="00AB644A"/>
    <w:rsid w:val="00AB6458"/>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D73"/>
    <w:rsid w:val="00B4110D"/>
    <w:rsid w:val="00B411A3"/>
    <w:rsid w:val="00B412CB"/>
    <w:rsid w:val="00B416D8"/>
    <w:rsid w:val="00B41B34"/>
    <w:rsid w:val="00B41BEE"/>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89"/>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515"/>
    <w:rsid w:val="00B82A0E"/>
    <w:rsid w:val="00B82A8C"/>
    <w:rsid w:val="00B830F7"/>
    <w:rsid w:val="00B8321E"/>
    <w:rsid w:val="00B837F5"/>
    <w:rsid w:val="00B83AC3"/>
    <w:rsid w:val="00B83DAC"/>
    <w:rsid w:val="00B83DF6"/>
    <w:rsid w:val="00B84BE8"/>
    <w:rsid w:val="00B855A8"/>
    <w:rsid w:val="00B85837"/>
    <w:rsid w:val="00B85F67"/>
    <w:rsid w:val="00B86557"/>
    <w:rsid w:val="00B86D87"/>
    <w:rsid w:val="00B87AF3"/>
    <w:rsid w:val="00B87C60"/>
    <w:rsid w:val="00B90165"/>
    <w:rsid w:val="00B911E8"/>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3FF"/>
    <w:rsid w:val="00B954FC"/>
    <w:rsid w:val="00B95A04"/>
    <w:rsid w:val="00B95C49"/>
    <w:rsid w:val="00B95EEF"/>
    <w:rsid w:val="00B95FD7"/>
    <w:rsid w:val="00B96228"/>
    <w:rsid w:val="00B96313"/>
    <w:rsid w:val="00B96CF0"/>
    <w:rsid w:val="00B96DA2"/>
    <w:rsid w:val="00B977E6"/>
    <w:rsid w:val="00BA067F"/>
    <w:rsid w:val="00BA13E0"/>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C6"/>
    <w:rsid w:val="00C1662C"/>
    <w:rsid w:val="00C16813"/>
    <w:rsid w:val="00C16B16"/>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6C8A"/>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655"/>
    <w:rsid w:val="00CB299C"/>
    <w:rsid w:val="00CB2BBA"/>
    <w:rsid w:val="00CB35ED"/>
    <w:rsid w:val="00CB39EB"/>
    <w:rsid w:val="00CB3A64"/>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B4"/>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996"/>
    <w:rsid w:val="00D17869"/>
    <w:rsid w:val="00D1792B"/>
    <w:rsid w:val="00D17F37"/>
    <w:rsid w:val="00D202D3"/>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90B"/>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48B"/>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788"/>
    <w:rsid w:val="00DA492A"/>
    <w:rsid w:val="00DA49D8"/>
    <w:rsid w:val="00DA518C"/>
    <w:rsid w:val="00DA5655"/>
    <w:rsid w:val="00DA5CA9"/>
    <w:rsid w:val="00DA5E7E"/>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8E6"/>
    <w:rsid w:val="00E02C20"/>
    <w:rsid w:val="00E0324B"/>
    <w:rsid w:val="00E0345F"/>
    <w:rsid w:val="00E03BEA"/>
    <w:rsid w:val="00E0401E"/>
    <w:rsid w:val="00E04234"/>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0DA9"/>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E0E"/>
    <w:rsid w:val="00E3305B"/>
    <w:rsid w:val="00E33506"/>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BAC"/>
    <w:rsid w:val="00E42532"/>
    <w:rsid w:val="00E42D71"/>
    <w:rsid w:val="00E432AE"/>
    <w:rsid w:val="00E434D2"/>
    <w:rsid w:val="00E4356E"/>
    <w:rsid w:val="00E43F1E"/>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15A3"/>
    <w:rsid w:val="00E51E23"/>
    <w:rsid w:val="00E523F3"/>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166"/>
    <w:rsid w:val="00E71952"/>
    <w:rsid w:val="00E71DF1"/>
    <w:rsid w:val="00E71EDB"/>
    <w:rsid w:val="00E723D3"/>
    <w:rsid w:val="00E7242A"/>
    <w:rsid w:val="00E72737"/>
    <w:rsid w:val="00E72ABE"/>
    <w:rsid w:val="00E72BCC"/>
    <w:rsid w:val="00E739A7"/>
    <w:rsid w:val="00E73E01"/>
    <w:rsid w:val="00E7449A"/>
    <w:rsid w:val="00E744BD"/>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BF3"/>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87C"/>
    <w:rsid w:val="00EE7047"/>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F02"/>
    <w:rsid w:val="00F07D39"/>
    <w:rsid w:val="00F10437"/>
    <w:rsid w:val="00F10465"/>
    <w:rsid w:val="00F10780"/>
    <w:rsid w:val="00F10864"/>
    <w:rsid w:val="00F1165E"/>
    <w:rsid w:val="00F11CF5"/>
    <w:rsid w:val="00F12909"/>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C6"/>
    <w:rsid w:val="00F37E70"/>
    <w:rsid w:val="00F40C88"/>
    <w:rsid w:val="00F413BA"/>
    <w:rsid w:val="00F41576"/>
    <w:rsid w:val="00F41D1F"/>
    <w:rsid w:val="00F426B0"/>
    <w:rsid w:val="00F42910"/>
    <w:rsid w:val="00F42C2B"/>
    <w:rsid w:val="00F44833"/>
    <w:rsid w:val="00F45B82"/>
    <w:rsid w:val="00F46694"/>
    <w:rsid w:val="00F467B0"/>
    <w:rsid w:val="00F4683A"/>
    <w:rsid w:val="00F46E40"/>
    <w:rsid w:val="00F46EAB"/>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6B"/>
    <w:rsid w:val="00FE00DC"/>
    <w:rsid w:val="00FE0477"/>
    <w:rsid w:val="00FE0657"/>
    <w:rsid w:val="00FE0E08"/>
    <w:rsid w:val="00FE15F5"/>
    <w:rsid w:val="00FE1728"/>
    <w:rsid w:val="00FE1EC0"/>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733C47F7-B850-4412-8597-B8E1EC96D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105EFB"/>
    <w:pPr>
      <w:numPr>
        <w:numId w:val="32"/>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HR33RHYHUWRF-4-6315</_dlc_DocId>
    <_dlc_DocIdUrl xmlns="c06861ca-3f08-4d07-bff7-bb15bac121f4">
      <Url>https://projects.qualcomm.com/sites/pentari/_layouts/15/DocIdRedir.aspx?ID=HR33RHYHUWRF-4-6315</Url>
      <Description>HR33RHYHUWRF-4-6315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7E02634F-B1EC-4C7F-B186-C2A611558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Pages>
  <Words>1347</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dc:description/>
  <cp:lastModifiedBy>Qualcomm</cp:lastModifiedBy>
  <cp:revision>13</cp:revision>
  <cp:lastPrinted>2017-11-18T03:01:00Z</cp:lastPrinted>
  <dcterms:created xsi:type="dcterms:W3CDTF">2017-11-18T06:19:00Z</dcterms:created>
  <dcterms:modified xsi:type="dcterms:W3CDTF">2018-01-13T02:52:00Z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111ee899-3bf8-4b4c-8673-ad97d29331fc</vt:lpwstr>
  </property>
</Properties>
</file>